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709"/>
        <w:gridCol w:w="567"/>
        <w:gridCol w:w="567"/>
        <w:gridCol w:w="567"/>
        <w:gridCol w:w="1276"/>
        <w:gridCol w:w="992"/>
        <w:gridCol w:w="992"/>
        <w:gridCol w:w="709"/>
        <w:gridCol w:w="709"/>
        <w:gridCol w:w="1842"/>
      </w:tblGrid>
      <w:tr w:rsidR="00A00C07" w:rsidRPr="001F63FB" w:rsidTr="00AF0273">
        <w:trPr>
          <w:cantSplit/>
          <w:trHeight w:val="421"/>
        </w:trPr>
        <w:tc>
          <w:tcPr>
            <w:tcW w:w="5920" w:type="dxa"/>
            <w:vMerge w:val="restart"/>
            <w:tcBorders>
              <w:top w:val="nil"/>
              <w:left w:val="nil"/>
            </w:tcBorders>
          </w:tcPr>
          <w:p w:rsidR="00A00C07" w:rsidRDefault="00AF0273" w:rsidP="00AF0273">
            <w:pPr>
              <w:rPr>
                <w:b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D9511D" wp14:editId="76099B2D">
                  <wp:extent cx="3319200" cy="10150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143" cy="101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273" w:rsidRDefault="00AF0273" w:rsidP="00AF0273">
            <w:pPr>
              <w:rPr>
                <w:b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992FEC9" wp14:editId="4745655F">
                  <wp:simplePos x="0" y="0"/>
                  <wp:positionH relativeFrom="column">
                    <wp:posOffset>1805398</wp:posOffset>
                  </wp:positionH>
                  <wp:positionV relativeFrom="paragraph">
                    <wp:posOffset>44450</wp:posOffset>
                  </wp:positionV>
                  <wp:extent cx="1516976" cy="295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76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273" w:rsidRDefault="00AF0273" w:rsidP="00AF0273">
            <w:pPr>
              <w:rPr>
                <w:b/>
                <w:szCs w:val="20"/>
              </w:rPr>
            </w:pPr>
          </w:p>
          <w:p w:rsidR="00AF0273" w:rsidRDefault="00AF0273" w:rsidP="00AF0273">
            <w:pPr>
              <w:rPr>
                <w:b/>
                <w:szCs w:val="20"/>
              </w:rPr>
            </w:pPr>
          </w:p>
          <w:p w:rsidR="00A00C07" w:rsidRPr="00AF0273" w:rsidRDefault="00A00C07" w:rsidP="00AF0273">
            <w:pPr>
              <w:rPr>
                <w:b/>
                <w:szCs w:val="20"/>
              </w:rPr>
            </w:pPr>
            <w:r w:rsidRPr="00AF0273">
              <w:rPr>
                <w:b/>
                <w:szCs w:val="20"/>
              </w:rPr>
              <w:t>Western Australian Curriculum Mapping</w:t>
            </w:r>
            <w:r w:rsidRPr="00AF0273">
              <w:rPr>
                <w:b/>
                <w:szCs w:val="20"/>
              </w:rPr>
              <w:tab/>
            </w:r>
          </w:p>
          <w:p w:rsidR="00AF0273" w:rsidRDefault="00AF0273" w:rsidP="00AF0273">
            <w:pPr>
              <w:rPr>
                <w:szCs w:val="20"/>
              </w:rPr>
            </w:pPr>
          </w:p>
          <w:p w:rsidR="00A00C07" w:rsidRPr="001F63FB" w:rsidRDefault="00A00C07" w:rsidP="00AF0273">
            <w:pPr>
              <w:rPr>
                <w:szCs w:val="20"/>
              </w:rPr>
            </w:pPr>
            <w:r w:rsidRPr="001F63FB">
              <w:rPr>
                <w:szCs w:val="20"/>
              </w:rPr>
              <w:t>Health and Physical Education Syllabus</w:t>
            </w:r>
            <w:r w:rsidR="00AF0273">
              <w:rPr>
                <w:szCs w:val="20"/>
              </w:rPr>
              <w:t xml:space="preserve"> </w:t>
            </w:r>
            <w:r w:rsidRPr="00AF0273">
              <w:rPr>
                <w:b/>
                <w:szCs w:val="20"/>
              </w:rPr>
              <w:t>Year 8</w:t>
            </w:r>
          </w:p>
          <w:p w:rsidR="00A00C07" w:rsidRDefault="00A00C07" w:rsidP="00A00C07">
            <w:pPr>
              <w:rPr>
                <w:sz w:val="18"/>
                <w:szCs w:val="20"/>
              </w:rPr>
            </w:pPr>
          </w:p>
          <w:p w:rsidR="00AF0273" w:rsidRDefault="00AF0273" w:rsidP="00A00C07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  <w:p w:rsidR="00A00C07" w:rsidRDefault="00A00C07" w:rsidP="00A00C07">
            <w:pPr>
              <w:rPr>
                <w:sz w:val="18"/>
                <w:szCs w:val="20"/>
              </w:rPr>
            </w:pPr>
          </w:p>
          <w:p w:rsidR="00A00C07" w:rsidRDefault="00A00C07" w:rsidP="00A00C07">
            <w:pPr>
              <w:rPr>
                <w:sz w:val="18"/>
                <w:szCs w:val="20"/>
              </w:rPr>
            </w:pPr>
          </w:p>
          <w:p w:rsidR="00A00C07" w:rsidRDefault="00A00C07" w:rsidP="00A00C07">
            <w:pPr>
              <w:jc w:val="center"/>
              <w:rPr>
                <w:sz w:val="18"/>
                <w:szCs w:val="20"/>
              </w:rPr>
            </w:pPr>
          </w:p>
          <w:p w:rsidR="00A00C07" w:rsidRPr="00CD46C1" w:rsidRDefault="00A00C07" w:rsidP="00A00C07">
            <w:pPr>
              <w:rPr>
                <w:sz w:val="16"/>
                <w:szCs w:val="16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  <w:r w:rsidRPr="00B677EE">
              <w:rPr>
                <w:sz w:val="18"/>
                <w:szCs w:val="20"/>
              </w:rPr>
              <w:t xml:space="preserve"> Covered     </w:t>
            </w:r>
            <w:r w:rsidRPr="00B677EE">
              <w:rPr>
                <w:sz w:val="18"/>
                <w:szCs w:val="20"/>
              </w:rPr>
              <w:sym w:font="Wingdings 2" w:char="F09A"/>
            </w:r>
            <w:r w:rsidRPr="00B677EE">
              <w:rPr>
                <w:sz w:val="18"/>
                <w:szCs w:val="20"/>
              </w:rPr>
              <w:t xml:space="preserve"> Partially covered</w:t>
            </w:r>
          </w:p>
        </w:tc>
        <w:tc>
          <w:tcPr>
            <w:tcW w:w="4253" w:type="dxa"/>
            <w:gridSpan w:val="6"/>
            <w:shd w:val="clear" w:color="auto" w:fill="83C6B4"/>
          </w:tcPr>
          <w:p w:rsidR="00A00C07" w:rsidRPr="00AF0273" w:rsidRDefault="00A00C07" w:rsidP="00A00C07">
            <w:pPr>
              <w:jc w:val="center"/>
              <w:rPr>
                <w:sz w:val="16"/>
                <w:szCs w:val="16"/>
              </w:rPr>
            </w:pPr>
            <w:r w:rsidRPr="00AF0273">
              <w:rPr>
                <w:b/>
                <w:sz w:val="16"/>
                <w:szCs w:val="16"/>
              </w:rPr>
              <w:t>Being healthy, safe and active</w:t>
            </w:r>
          </w:p>
        </w:tc>
        <w:tc>
          <w:tcPr>
            <w:tcW w:w="2693" w:type="dxa"/>
            <w:gridSpan w:val="3"/>
            <w:shd w:val="clear" w:color="auto" w:fill="83C6B4"/>
          </w:tcPr>
          <w:p w:rsidR="00A00C07" w:rsidRPr="00AF0273" w:rsidRDefault="00A00C07" w:rsidP="00A00C07">
            <w:pPr>
              <w:jc w:val="center"/>
              <w:rPr>
                <w:sz w:val="16"/>
                <w:szCs w:val="16"/>
              </w:rPr>
            </w:pPr>
            <w:r w:rsidRPr="00AF0273">
              <w:rPr>
                <w:b/>
                <w:sz w:val="16"/>
                <w:szCs w:val="16"/>
              </w:rPr>
              <w:t>Communicating and interacting for health and wellbeing</w:t>
            </w:r>
          </w:p>
        </w:tc>
        <w:tc>
          <w:tcPr>
            <w:tcW w:w="2551" w:type="dxa"/>
            <w:gridSpan w:val="2"/>
            <w:shd w:val="clear" w:color="auto" w:fill="83C6B4"/>
          </w:tcPr>
          <w:p w:rsidR="00A00C07" w:rsidRPr="00AF0273" w:rsidRDefault="00A00C07" w:rsidP="00A00C07">
            <w:pPr>
              <w:jc w:val="center"/>
              <w:rPr>
                <w:sz w:val="16"/>
                <w:szCs w:val="16"/>
              </w:rPr>
            </w:pPr>
            <w:r w:rsidRPr="00AF0273">
              <w:rPr>
                <w:b/>
                <w:sz w:val="16"/>
                <w:szCs w:val="16"/>
              </w:rPr>
              <w:t>Contributing to healthy and active communities</w:t>
            </w:r>
          </w:p>
        </w:tc>
      </w:tr>
      <w:tr w:rsidR="00AF0273" w:rsidRPr="001F63FB" w:rsidTr="00AF0273">
        <w:trPr>
          <w:cantSplit/>
          <w:trHeight w:val="3890"/>
        </w:trPr>
        <w:tc>
          <w:tcPr>
            <w:tcW w:w="5920" w:type="dxa"/>
            <w:vMerge/>
            <w:tcBorders>
              <w:left w:val="nil"/>
            </w:tcBorders>
          </w:tcPr>
          <w:p w:rsidR="00A00C07" w:rsidRPr="00CD46C1" w:rsidRDefault="00A00C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The impact of physical changes on gender, cultural and sexual identities (ACPPS070)</w:t>
            </w:r>
          </w:p>
        </w:tc>
        <w:tc>
          <w:tcPr>
            <w:tcW w:w="709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Ways in which changing feelings and attractions form part of developing sexual identities (ACPPS070)</w:t>
            </w:r>
          </w:p>
        </w:tc>
        <w:tc>
          <w:tcPr>
            <w:tcW w:w="567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Strategies for managing the changing nature of peer and family relationships (ACPPS071)</w:t>
            </w:r>
          </w:p>
        </w:tc>
        <w:tc>
          <w:tcPr>
            <w:tcW w:w="567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Communication techniques to persuade someone to seek help (ACPPS072)</w:t>
            </w:r>
          </w:p>
        </w:tc>
        <w:tc>
          <w:tcPr>
            <w:tcW w:w="567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The reasons why young people choose to use or not use drugs (ACPPS073)</w:t>
            </w:r>
          </w:p>
        </w:tc>
        <w:tc>
          <w:tcPr>
            <w:tcW w:w="1276" w:type="dxa"/>
            <w:shd w:val="clear" w:color="auto" w:fill="FBFAC1"/>
            <w:textDirection w:val="tbRl"/>
          </w:tcPr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 xml:space="preserve">Skills and strategies to promote physical and mental health, safety and wellbeing in various environments, such as: assertive responses; stress management; refusal skills; contingency plans; online environments; making informed choices </w:t>
            </w:r>
          </w:p>
          <w:p w:rsidR="00A00C07" w:rsidRPr="00CD46C1" w:rsidRDefault="00A00C07" w:rsidP="008414EB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(ACPPS073)</w:t>
            </w:r>
          </w:p>
        </w:tc>
        <w:tc>
          <w:tcPr>
            <w:tcW w:w="992" w:type="dxa"/>
            <w:shd w:val="clear" w:color="auto" w:fill="FBFAC1"/>
            <w:textDirection w:val="tbRl"/>
          </w:tcPr>
          <w:p w:rsidR="00A00C07" w:rsidRPr="00CD46C1" w:rsidRDefault="00A00C07" w:rsidP="00B677EE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The impact bullying and harassment can have on relationships, including online relationships, and the health and wellbeing of themselves and others (ACPPS074)</w:t>
            </w:r>
          </w:p>
        </w:tc>
        <w:tc>
          <w:tcPr>
            <w:tcW w:w="992" w:type="dxa"/>
            <w:shd w:val="clear" w:color="auto" w:fill="FBFAC1"/>
            <w:textDirection w:val="tbRl"/>
          </w:tcPr>
          <w:p w:rsidR="00A00C07" w:rsidRPr="00CD46C1" w:rsidRDefault="00A00C07" w:rsidP="00B677EE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Personal, social and cultural factors influencing emotional responses and behaviour, such as: prior experience; norms and expectations; personal beliefs and attitudes (ACPPS075)</w:t>
            </w:r>
          </w:p>
        </w:tc>
        <w:tc>
          <w:tcPr>
            <w:tcW w:w="709" w:type="dxa"/>
            <w:shd w:val="clear" w:color="auto" w:fill="FBFAC1"/>
            <w:textDirection w:val="tbRl"/>
          </w:tcPr>
          <w:p w:rsidR="00A00C07" w:rsidRPr="00CD46C1" w:rsidRDefault="00A00C07" w:rsidP="00B677EE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Sources of health information that can support people who are going through a challenging time (ACPPS076)</w:t>
            </w:r>
          </w:p>
        </w:tc>
        <w:tc>
          <w:tcPr>
            <w:tcW w:w="709" w:type="dxa"/>
            <w:shd w:val="clear" w:color="auto" w:fill="FBFAC1"/>
            <w:textDirection w:val="tbRl"/>
          </w:tcPr>
          <w:p w:rsidR="00A00C07" w:rsidRPr="00CD46C1" w:rsidRDefault="00A00C07" w:rsidP="00B677EE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Health promotion activities which target relevant heath issues for young people and ways to prevent them (ACPPS077)</w:t>
            </w:r>
          </w:p>
        </w:tc>
        <w:tc>
          <w:tcPr>
            <w:tcW w:w="1842" w:type="dxa"/>
            <w:shd w:val="clear" w:color="auto" w:fill="FBFAC1"/>
            <w:textDirection w:val="tbRl"/>
          </w:tcPr>
          <w:p w:rsidR="00A00C07" w:rsidRPr="00CD46C1" w:rsidRDefault="00A00C07" w:rsidP="00B677EE">
            <w:pPr>
              <w:ind w:left="113" w:right="113"/>
              <w:rPr>
                <w:sz w:val="16"/>
                <w:szCs w:val="16"/>
              </w:rPr>
            </w:pPr>
            <w:r w:rsidRPr="00CD46C1">
              <w:rPr>
                <w:sz w:val="16"/>
                <w:szCs w:val="16"/>
              </w:rPr>
              <w:t>Benefits to individuals and communities of valuing diversity and promoting inclusivity, such as: respecting diversity; exploring how the traditions, foods and practices of different cultures enhance the wellbeing of the community; challenging racism, homophobia, sexism and disability discrimination; researching how stereotypes and prejudices have been challenged in various contexts (ACPPS078; ACPPS079)</w:t>
            </w:r>
          </w:p>
        </w:tc>
      </w:tr>
      <w:tr w:rsidR="00A00C07" w:rsidRPr="001F63FB" w:rsidTr="005751C6">
        <w:trPr>
          <w:cantSplit/>
          <w:trHeight w:val="332"/>
        </w:trPr>
        <w:tc>
          <w:tcPr>
            <w:tcW w:w="5920" w:type="dxa"/>
            <w:shd w:val="clear" w:color="auto" w:fill="FDF9D3"/>
          </w:tcPr>
          <w:p w:rsidR="00CD46C1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 xml:space="preserve">1a. Establishing a group agreement </w:t>
            </w:r>
            <w:r w:rsidR="00CD46C1" w:rsidRPr="004B32E9">
              <w:rPr>
                <w:sz w:val="18"/>
                <w:szCs w:val="18"/>
              </w:rPr>
              <w:t>To provide students with an opportunity to explore and discuss factors that make for a safe and supportive learning environment for all.</w:t>
            </w: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A"/>
            </w:r>
          </w:p>
        </w:tc>
        <w:tc>
          <w:tcPr>
            <w:tcW w:w="992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A"/>
            </w:r>
          </w:p>
        </w:tc>
      </w:tr>
      <w:tr w:rsidR="00CD46C1" w:rsidRPr="001F63FB" w:rsidTr="005751C6">
        <w:trPr>
          <w:cantSplit/>
          <w:trHeight w:val="819"/>
        </w:trPr>
        <w:tc>
          <w:tcPr>
            <w:tcW w:w="5920" w:type="dxa"/>
            <w:shd w:val="clear" w:color="auto" w:fill="FDF9D3"/>
          </w:tcPr>
          <w:p w:rsidR="00CD46C1" w:rsidRPr="004B32E9" w:rsidRDefault="00A00C07" w:rsidP="00A00C07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>1b. KWL</w:t>
            </w:r>
            <w:r w:rsidRPr="004B32E9">
              <w:rPr>
                <w:sz w:val="18"/>
                <w:szCs w:val="18"/>
              </w:rPr>
              <w:t xml:space="preserve"> T</w:t>
            </w:r>
            <w:r w:rsidR="00CD46C1" w:rsidRPr="004B32E9">
              <w:rPr>
                <w:sz w:val="18"/>
                <w:szCs w:val="18"/>
              </w:rPr>
              <w:t>o revise concepts of Stage 1, to remind students of appropriate language; </w:t>
            </w:r>
            <w:r w:rsidR="00CD46C1" w:rsidRPr="004B32E9">
              <w:rPr>
                <w:rStyle w:val="scayt-misspell-word"/>
                <w:sz w:val="18"/>
                <w:szCs w:val="18"/>
              </w:rPr>
              <w:t>recognise</w:t>
            </w:r>
            <w:r w:rsidR="00CD46C1" w:rsidRPr="004B32E9">
              <w:rPr>
                <w:sz w:val="18"/>
                <w:szCs w:val="18"/>
              </w:rPr>
              <w:t xml:space="preserve"> prior knowledge of students; to give students an opportunity to record what they would like to find out about gender, respectful relationships, communication and sexting. </w:t>
            </w:r>
          </w:p>
        </w:tc>
        <w:tc>
          <w:tcPr>
            <w:tcW w:w="567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</w:tr>
      <w:tr w:rsidR="00CD46C1" w:rsidRPr="001F63FB" w:rsidTr="005751C6">
        <w:trPr>
          <w:cantSplit/>
          <w:trHeight w:val="472"/>
        </w:trPr>
        <w:tc>
          <w:tcPr>
            <w:tcW w:w="5920" w:type="dxa"/>
            <w:shd w:val="clear" w:color="auto" w:fill="FDF9D3"/>
          </w:tcPr>
          <w:p w:rsidR="00CD46C1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 xml:space="preserve">2. Gender not sex </w:t>
            </w:r>
            <w:r w:rsidRPr="004B32E9">
              <w:rPr>
                <w:sz w:val="18"/>
                <w:szCs w:val="18"/>
              </w:rPr>
              <w:t xml:space="preserve">To help students understand the difference between ‘sex’ and ‘gender’ and to </w:t>
            </w:r>
            <w:r w:rsidRPr="004B32E9">
              <w:rPr>
                <w:rStyle w:val="scayt-misspell-word"/>
                <w:sz w:val="18"/>
                <w:szCs w:val="18"/>
              </w:rPr>
              <w:t>recognise</w:t>
            </w:r>
            <w:r w:rsidRPr="004B32E9">
              <w:rPr>
                <w:sz w:val="18"/>
                <w:szCs w:val="18"/>
              </w:rPr>
              <w:t xml:space="preserve"> gender stereotypes. </w:t>
            </w:r>
          </w:p>
        </w:tc>
        <w:tc>
          <w:tcPr>
            <w:tcW w:w="567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C1" w:rsidRPr="004B32E9" w:rsidRDefault="00CD46C1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D46C1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</w:tr>
      <w:tr w:rsidR="00A00C07" w:rsidRPr="001F63FB" w:rsidTr="005751C6">
        <w:trPr>
          <w:cantSplit/>
          <w:trHeight w:val="550"/>
        </w:trPr>
        <w:tc>
          <w:tcPr>
            <w:tcW w:w="5920" w:type="dxa"/>
            <w:shd w:val="clear" w:color="auto" w:fill="FDF9D3"/>
          </w:tcPr>
          <w:p w:rsidR="00A00C07" w:rsidRPr="004B32E9" w:rsidRDefault="00A00C07" w:rsidP="00A00C07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 xml:space="preserve">3. Respect – What’s OK and what’s not OK? </w:t>
            </w:r>
            <w:r w:rsidRPr="004B32E9">
              <w:rPr>
                <w:sz w:val="18"/>
                <w:szCs w:val="18"/>
              </w:rPr>
              <w:t xml:space="preserve">To revise what a respectful relationship is; To identify examples of respectful and disrespectful relationships in the film </w:t>
            </w:r>
            <w:r w:rsidRPr="004B32E9">
              <w:rPr>
                <w:rStyle w:val="Emphasis"/>
                <w:sz w:val="18"/>
                <w:szCs w:val="18"/>
              </w:rPr>
              <w:t>Tagged</w:t>
            </w:r>
            <w:r w:rsidRPr="004B32E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3E0812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1842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</w:tr>
      <w:tr w:rsidR="00A00C07" w:rsidRPr="001F63FB" w:rsidTr="005751C6">
        <w:trPr>
          <w:cantSplit/>
          <w:trHeight w:val="558"/>
        </w:trPr>
        <w:tc>
          <w:tcPr>
            <w:tcW w:w="5920" w:type="dxa"/>
            <w:shd w:val="clear" w:color="auto" w:fill="FDF9D3"/>
          </w:tcPr>
          <w:p w:rsidR="00A00C07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 xml:space="preserve">4. Four questions </w:t>
            </w:r>
            <w:r w:rsidRPr="004B32E9">
              <w:rPr>
                <w:sz w:val="18"/>
                <w:szCs w:val="18"/>
              </w:rPr>
              <w:t>To identify a framework for considering the safety and respect of people in a situation.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A"/>
            </w:r>
          </w:p>
        </w:tc>
        <w:tc>
          <w:tcPr>
            <w:tcW w:w="1276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</w:tr>
      <w:tr w:rsidR="00A00C07" w:rsidRPr="001F63FB" w:rsidTr="005751C6">
        <w:trPr>
          <w:cantSplit/>
          <w:trHeight w:val="694"/>
        </w:trPr>
        <w:tc>
          <w:tcPr>
            <w:tcW w:w="5920" w:type="dxa"/>
            <w:shd w:val="clear" w:color="auto" w:fill="FDF9D3"/>
          </w:tcPr>
          <w:p w:rsidR="00A00C07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>5. What’s the status?</w:t>
            </w:r>
            <w:r w:rsidRPr="004B32E9">
              <w:rPr>
                <w:sz w:val="18"/>
                <w:szCs w:val="18"/>
              </w:rPr>
              <w:t xml:space="preserve"> To identify the impact of online </w:t>
            </w:r>
            <w:r w:rsidRPr="004B32E9">
              <w:rPr>
                <w:rStyle w:val="scayt-misspell-word"/>
                <w:sz w:val="18"/>
                <w:szCs w:val="18"/>
              </w:rPr>
              <w:t>behaviour</w:t>
            </w:r>
            <w:r w:rsidRPr="004B32E9">
              <w:rPr>
                <w:sz w:val="18"/>
                <w:szCs w:val="18"/>
              </w:rPr>
              <w:t xml:space="preserve"> on individuals and others in relationships; To apply the 4 Questions framework in situations regarding online messages.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184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A"/>
            </w:r>
          </w:p>
        </w:tc>
      </w:tr>
      <w:tr w:rsidR="00A00C07" w:rsidRPr="001F63FB" w:rsidTr="005751C6">
        <w:trPr>
          <w:cantSplit/>
          <w:trHeight w:val="562"/>
        </w:trPr>
        <w:tc>
          <w:tcPr>
            <w:tcW w:w="5920" w:type="dxa"/>
            <w:shd w:val="clear" w:color="auto" w:fill="FDF9D3"/>
          </w:tcPr>
          <w:p w:rsidR="00A00C07" w:rsidRPr="004B32E9" w:rsidRDefault="00A00C07" w:rsidP="00A00C07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>6. Who said what?</w:t>
            </w:r>
            <w:r w:rsidRPr="004B32E9">
              <w:rPr>
                <w:sz w:val="18"/>
                <w:szCs w:val="18"/>
              </w:rPr>
              <w:t xml:space="preserve"> To revise and apply knowledge of communication styles; to reflect on personal communication styles.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A"/>
            </w:r>
          </w:p>
        </w:tc>
      </w:tr>
      <w:tr w:rsidR="00A00C07" w:rsidRPr="001F63FB" w:rsidTr="005751C6">
        <w:trPr>
          <w:cantSplit/>
          <w:trHeight w:val="704"/>
        </w:trPr>
        <w:tc>
          <w:tcPr>
            <w:tcW w:w="5920" w:type="dxa"/>
            <w:shd w:val="clear" w:color="auto" w:fill="FDF9D3"/>
          </w:tcPr>
          <w:p w:rsidR="00A00C07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>7. Telling stories</w:t>
            </w:r>
            <w:r w:rsidRPr="004B32E9">
              <w:rPr>
                <w:sz w:val="18"/>
                <w:szCs w:val="18"/>
              </w:rPr>
              <w:t xml:space="preserve"> To review and apply the concepts of being an ethical bystander, respectful relationships, assertive communication, 4 questions framework.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1842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</w:tr>
      <w:tr w:rsidR="00A00C07" w:rsidRPr="001F63FB" w:rsidTr="005751C6">
        <w:trPr>
          <w:cantSplit/>
          <w:trHeight w:val="563"/>
        </w:trPr>
        <w:tc>
          <w:tcPr>
            <w:tcW w:w="5920" w:type="dxa"/>
            <w:shd w:val="clear" w:color="auto" w:fill="FDF9D3"/>
          </w:tcPr>
          <w:p w:rsidR="00A00C07" w:rsidRPr="004B32E9" w:rsidRDefault="00A00C07" w:rsidP="00CD46C1">
            <w:pPr>
              <w:rPr>
                <w:sz w:val="18"/>
                <w:szCs w:val="18"/>
              </w:rPr>
            </w:pPr>
            <w:r w:rsidRPr="004B32E9">
              <w:rPr>
                <w:b/>
                <w:sz w:val="18"/>
                <w:szCs w:val="18"/>
              </w:rPr>
              <w:t>8. Helpful websites</w:t>
            </w:r>
            <w:r w:rsidRPr="004B32E9">
              <w:rPr>
                <w:sz w:val="18"/>
                <w:szCs w:val="18"/>
              </w:rPr>
              <w:t xml:space="preserve"> To determine the appropriateness and reliability of online health information; to critically </w:t>
            </w:r>
            <w:r w:rsidRPr="004B32E9">
              <w:rPr>
                <w:rStyle w:val="scayt-misspell-word"/>
                <w:sz w:val="18"/>
                <w:szCs w:val="18"/>
              </w:rPr>
              <w:t>analyse</w:t>
            </w:r>
            <w:r w:rsidRPr="004B32E9">
              <w:rPr>
                <w:sz w:val="18"/>
                <w:szCs w:val="18"/>
              </w:rPr>
              <w:t xml:space="preserve"> a health website.</w:t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00C07" w:rsidRPr="004B32E9" w:rsidRDefault="0064120F" w:rsidP="003E0812">
            <w:pPr>
              <w:jc w:val="center"/>
              <w:rPr>
                <w:sz w:val="18"/>
                <w:szCs w:val="18"/>
              </w:rPr>
            </w:pPr>
            <w:r w:rsidRPr="00B677EE">
              <w:rPr>
                <w:sz w:val="18"/>
                <w:szCs w:val="20"/>
              </w:rPr>
              <w:sym w:font="Wingdings 2" w:char="F098"/>
            </w:r>
          </w:p>
        </w:tc>
        <w:tc>
          <w:tcPr>
            <w:tcW w:w="1842" w:type="dxa"/>
            <w:vAlign w:val="center"/>
          </w:tcPr>
          <w:p w:rsidR="00A00C07" w:rsidRPr="004B32E9" w:rsidRDefault="00A00C07" w:rsidP="003E08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003F" w:rsidRDefault="009A003F">
      <w:pPr>
        <w:rPr>
          <w:sz w:val="20"/>
          <w:szCs w:val="20"/>
        </w:rPr>
      </w:pPr>
    </w:p>
    <w:sectPr w:rsidR="009A003F" w:rsidSect="00A975F6">
      <w:footerReference w:type="default" r:id="rId10"/>
      <w:pgSz w:w="16838" w:h="11906" w:orient="landscape"/>
      <w:pgMar w:top="68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F6" w:rsidRDefault="00A975F6" w:rsidP="00A975F6">
      <w:r>
        <w:separator/>
      </w:r>
    </w:p>
  </w:endnote>
  <w:endnote w:type="continuationSeparator" w:id="0">
    <w:p w:rsidR="00A975F6" w:rsidRDefault="00A975F6" w:rsidP="00A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F6" w:rsidRDefault="00A975F6">
    <w:pPr>
      <w:pStyle w:val="Footer"/>
    </w:pPr>
    <w:r>
      <w:rPr>
        <w:noProof/>
        <w:lang w:val="en-GB" w:eastAsia="en-GB"/>
      </w:rPr>
      <w:drawing>
        <wp:inline distT="0" distB="0" distL="0" distR="0" wp14:anchorId="5F8059A9" wp14:editId="59FC9138">
          <wp:extent cx="1461600" cy="27066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74" cy="27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F6" w:rsidRDefault="00A975F6" w:rsidP="00A975F6">
      <w:r>
        <w:separator/>
      </w:r>
    </w:p>
  </w:footnote>
  <w:footnote w:type="continuationSeparator" w:id="0">
    <w:p w:rsidR="00A975F6" w:rsidRDefault="00A975F6" w:rsidP="00A9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8"/>
    <w:rsid w:val="000E3ACE"/>
    <w:rsid w:val="001F63FB"/>
    <w:rsid w:val="00390CD8"/>
    <w:rsid w:val="003E0812"/>
    <w:rsid w:val="0049601F"/>
    <w:rsid w:val="004B32E9"/>
    <w:rsid w:val="005751C6"/>
    <w:rsid w:val="0064120F"/>
    <w:rsid w:val="007716F7"/>
    <w:rsid w:val="008414EB"/>
    <w:rsid w:val="009A003F"/>
    <w:rsid w:val="00A00C07"/>
    <w:rsid w:val="00A975F6"/>
    <w:rsid w:val="00AF0273"/>
    <w:rsid w:val="00B677EE"/>
    <w:rsid w:val="00CD46C1"/>
    <w:rsid w:val="00EA7CA0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0CD8"/>
    <w:rPr>
      <w:color w:val="215986"/>
      <w:u w:val="single"/>
    </w:rPr>
  </w:style>
  <w:style w:type="character" w:customStyle="1" w:styleId="scayt-misspell-word">
    <w:name w:val="scayt-misspell-word"/>
    <w:basedOn w:val="DefaultParagraphFont"/>
    <w:rsid w:val="007716F7"/>
  </w:style>
  <w:style w:type="character" w:styleId="Emphasis">
    <w:name w:val="Emphasis"/>
    <w:basedOn w:val="DefaultParagraphFont"/>
    <w:uiPriority w:val="20"/>
    <w:qFormat/>
    <w:rsid w:val="007716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F6"/>
  </w:style>
  <w:style w:type="paragraph" w:styleId="Footer">
    <w:name w:val="footer"/>
    <w:basedOn w:val="Normal"/>
    <w:link w:val="FooterChar"/>
    <w:uiPriority w:val="99"/>
    <w:unhideWhenUsed/>
    <w:rsid w:val="00A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F6"/>
  </w:style>
  <w:style w:type="paragraph" w:styleId="BalloonText">
    <w:name w:val="Balloon Text"/>
    <w:basedOn w:val="Normal"/>
    <w:link w:val="BalloonTextChar"/>
    <w:uiPriority w:val="99"/>
    <w:semiHidden/>
    <w:unhideWhenUsed/>
    <w:rsid w:val="00A9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0CD8"/>
    <w:rPr>
      <w:color w:val="215986"/>
      <w:u w:val="single"/>
    </w:rPr>
  </w:style>
  <w:style w:type="character" w:customStyle="1" w:styleId="scayt-misspell-word">
    <w:name w:val="scayt-misspell-word"/>
    <w:basedOn w:val="DefaultParagraphFont"/>
    <w:rsid w:val="007716F7"/>
  </w:style>
  <w:style w:type="character" w:styleId="Emphasis">
    <w:name w:val="Emphasis"/>
    <w:basedOn w:val="DefaultParagraphFont"/>
    <w:uiPriority w:val="20"/>
    <w:qFormat/>
    <w:rsid w:val="007716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F6"/>
  </w:style>
  <w:style w:type="paragraph" w:styleId="Footer">
    <w:name w:val="footer"/>
    <w:basedOn w:val="Normal"/>
    <w:link w:val="FooterChar"/>
    <w:uiPriority w:val="99"/>
    <w:unhideWhenUsed/>
    <w:rsid w:val="00A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F6"/>
  </w:style>
  <w:style w:type="paragraph" w:styleId="BalloonText">
    <w:name w:val="Balloon Text"/>
    <w:basedOn w:val="Normal"/>
    <w:link w:val="BalloonTextChar"/>
    <w:uiPriority w:val="99"/>
    <w:semiHidden/>
    <w:unhideWhenUsed/>
    <w:rsid w:val="00A9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1F50-D141-4B33-BEBB-43828E5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BE07A7B5.dotm</Template>
  <TotalTime>229</TotalTime>
  <Pages>1</Pages>
  <Words>482</Words>
  <Characters>3014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Tulloh, Sharelle</dc:creator>
  <cp:lastModifiedBy>Tulloh, Sharelle</cp:lastModifiedBy>
  <cp:revision>5</cp:revision>
  <dcterms:created xsi:type="dcterms:W3CDTF">2020-01-29T00:53:00Z</dcterms:created>
  <dcterms:modified xsi:type="dcterms:W3CDTF">2020-01-29T05:54:00Z</dcterms:modified>
</cp:coreProperties>
</file>