
<file path=[Content_Types].xml><?xml version="1.0" encoding="utf-8"?>
<Types xmlns="http://schemas.openxmlformats.org/package/2006/content-types">
  <Override PartName="/_rels/.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120"/>
        <w:rPr/>
      </w:pPr>
      <w:r>
        <w:rPr/>
        <w:t>Overview</w:t>
      </w:r>
    </w:p>
    <w:p>
      <w:pPr>
        <w:pStyle w:val="TextBody"/>
        <w:rPr/>
      </w:pPr>
      <w:r>
        <w:rPr/>
        <w:t>The material displayed on this page is intended to help teachers develop a basic understanding of sexually related aspects of the law. If there is a situation that requires legal assistance, expert advice should be sought.</w:t>
      </w:r>
    </w:p>
    <w:p>
      <w:pPr>
        <w:pStyle w:val="Normal"/>
        <w:rPr>
          <w:b/>
          <w:b/>
          <w:bCs/>
        </w:rPr>
      </w:pPr>
      <w:r>
        <w:rPr>
          <w:b/>
          <w:bCs/>
        </w:rPr>
      </w:r>
    </w:p>
    <w:p>
      <w:pPr>
        <w:pStyle w:val="Heading3"/>
        <w:numPr>
          <w:ilvl w:val="2"/>
          <w:numId w:val="1"/>
        </w:numPr>
        <w:rPr/>
      </w:pPr>
      <w:r>
        <w:rPr/>
        <w:t>Sexual assault</w:t>
      </w:r>
    </w:p>
    <w:p>
      <w:pPr>
        <w:pStyle w:val="Normal"/>
        <w:rPr>
          <w:sz w:val="22"/>
        </w:rPr>
      </w:pPr>
      <w:r>
        <w:rPr>
          <w:sz w:val="22"/>
        </w:rPr>
      </w:r>
    </w:p>
    <w:p>
      <w:pPr>
        <w:pStyle w:val="TextBody"/>
        <w:rPr/>
      </w:pPr>
      <w:r>
        <w:rPr/>
        <w:t>Under the Criminal Code in Western Australia, there is no offence called 'sexual assault', the law actually specifies sexual-related offences such as 'indecent assault' and 'sexual penetration without consent'. The term 'sexual assault' has been used to generally describe these types of offences:</w:t>
      </w:r>
    </w:p>
    <w:p>
      <w:pPr>
        <w:pStyle w:val="TextBody"/>
        <w:numPr>
          <w:ilvl w:val="0"/>
          <w:numId w:val="4"/>
        </w:numPr>
        <w:tabs>
          <w:tab w:val="left" w:pos="0" w:leader="none"/>
        </w:tabs>
        <w:ind w:left="707" w:hanging="283"/>
        <w:rPr/>
      </w:pPr>
      <w:r>
        <w:rPr/>
        <w:t>Crimes of a sexual nature relating to the lack of consent on the part of the victim. Submission to sexual assault is not the same as giving consent. Consent is the product of a conscious and informed decision-making process and involves willing agreement.</w:t>
      </w:r>
    </w:p>
    <w:p>
      <w:pPr>
        <w:pStyle w:val="TextBody"/>
        <w:numPr>
          <w:ilvl w:val="0"/>
          <w:numId w:val="4"/>
        </w:numPr>
        <w:tabs>
          <w:tab w:val="left" w:pos="0" w:leader="none"/>
        </w:tabs>
        <w:ind w:left="707" w:hanging="283"/>
        <w:rPr/>
      </w:pPr>
      <w:r>
        <w:rPr/>
        <w:t>Broad definitions of sexual assault range from a pinch on the bottom to very violent acts of sexual intercourse.</w:t>
      </w:r>
    </w:p>
    <w:p>
      <w:pPr>
        <w:pStyle w:val="TextBody"/>
        <w:rPr/>
      </w:pPr>
      <w:r>
        <w:rPr/>
        <w:t>It is estimated that more than seventy-five percent of women and men do not report their attacks to police. Most commonly the offender is known to the victim, and the most common place of assault is the victim's or assailant's home. There appears to be no agreement on how to fully explain the causes of sexual abuse and assault. However, social and cultural factors are thought to explain the high levels of sexual assault and abuse on women and children.</w:t>
      </w:r>
    </w:p>
    <w:p>
      <w:pPr>
        <w:pStyle w:val="Heading4"/>
        <w:numPr>
          <w:ilvl w:val="3"/>
          <w:numId w:val="1"/>
        </w:numPr>
        <w:spacing w:before="200" w:after="283"/>
        <w:rPr/>
      </w:pPr>
      <w:r>
        <w:rPr/>
        <w:t>Immediate procedure following an assault</w:t>
      </w:r>
    </w:p>
    <w:p>
      <w:pPr>
        <w:pStyle w:val="TextBody"/>
        <w:numPr>
          <w:ilvl w:val="0"/>
          <w:numId w:val="5"/>
        </w:numPr>
        <w:tabs>
          <w:tab w:val="left" w:pos="0" w:leader="none"/>
        </w:tabs>
        <w:ind w:left="707" w:hanging="283"/>
        <w:rPr/>
      </w:pPr>
      <w:r>
        <w:rPr/>
        <w:t>Talk to someone trusted about what happened as soon as possible.</w:t>
      </w:r>
    </w:p>
    <w:p>
      <w:pPr>
        <w:pStyle w:val="TextBody"/>
        <w:numPr>
          <w:ilvl w:val="0"/>
          <w:numId w:val="5"/>
        </w:numPr>
        <w:tabs>
          <w:tab w:val="left" w:pos="0" w:leader="none"/>
        </w:tabs>
        <w:ind w:left="707" w:hanging="283"/>
        <w:rPr/>
      </w:pPr>
      <w:r>
        <w:rPr/>
        <w:t>If possible, do not shower, wash genitalia or change appearance in any way until after being examined by a doctor.</w:t>
      </w:r>
    </w:p>
    <w:p>
      <w:pPr>
        <w:pStyle w:val="TextBody"/>
        <w:numPr>
          <w:ilvl w:val="0"/>
          <w:numId w:val="5"/>
        </w:numPr>
        <w:tabs>
          <w:tab w:val="left" w:pos="0" w:leader="none"/>
        </w:tabs>
        <w:ind w:left="707" w:hanging="283"/>
        <w:rPr/>
      </w:pPr>
      <w:r>
        <w:rPr/>
        <w:t>Call the nearest sexual assault service for confidential advice and support or contact the Sexual Assault Resource Centre (SARC) crisis line on 08 9340 1828 or 1800 199 888 from anywhere in Western Australia.</w:t>
      </w:r>
    </w:p>
    <w:p>
      <w:pPr>
        <w:pStyle w:val="Heading4"/>
        <w:numPr>
          <w:ilvl w:val="0"/>
          <w:numId w:val="0"/>
        </w:numPr>
        <w:spacing w:before="200" w:after="283"/>
        <w:ind w:left="864" w:hanging="0"/>
        <w:rPr/>
      </w:pPr>
      <w:r>
        <w:rPr/>
        <w:t>Child sexual abuse</w:t>
      </w:r>
    </w:p>
    <w:p>
      <w:pPr>
        <w:pStyle w:val="TextBody"/>
        <w:rPr/>
      </w:pPr>
      <w:r>
        <w:rPr/>
        <w:t>'Sexual abuse' with regard to a child, includes sexual behaviour in circumstances where:</w:t>
      </w:r>
    </w:p>
    <w:p>
      <w:pPr>
        <w:pStyle w:val="TextBody"/>
        <w:numPr>
          <w:ilvl w:val="0"/>
          <w:numId w:val="6"/>
        </w:numPr>
        <w:tabs>
          <w:tab w:val="left" w:pos="0" w:leader="none"/>
        </w:tabs>
        <w:ind w:left="707" w:hanging="283"/>
        <w:rPr/>
      </w:pPr>
      <w:r>
        <w:rPr/>
        <w:t>the child is the subject of bribery, coercion, a threat, exploitation or violence</w:t>
      </w:r>
    </w:p>
    <w:p>
      <w:pPr>
        <w:pStyle w:val="TextBody"/>
        <w:numPr>
          <w:ilvl w:val="0"/>
          <w:numId w:val="6"/>
        </w:numPr>
        <w:tabs>
          <w:tab w:val="left" w:pos="0" w:leader="none"/>
        </w:tabs>
        <w:ind w:left="707" w:hanging="283"/>
        <w:rPr/>
      </w:pPr>
      <w:r>
        <w:rPr/>
        <w:t>the child has less power than another person involved in the behaviour</w:t>
      </w:r>
    </w:p>
    <w:p>
      <w:pPr>
        <w:pStyle w:val="TextBody"/>
        <w:numPr>
          <w:ilvl w:val="0"/>
          <w:numId w:val="6"/>
        </w:numPr>
        <w:tabs>
          <w:tab w:val="left" w:pos="0" w:leader="none"/>
        </w:tabs>
        <w:ind w:left="707" w:hanging="283"/>
        <w:rPr/>
      </w:pPr>
      <w:r>
        <w:rPr/>
        <w:t>there is a significant disparity in the development, function or maturity of the child and another person involved in the behaviour.</w:t>
      </w:r>
    </w:p>
    <w:p>
      <w:pPr>
        <w:pStyle w:val="Normal"/>
        <w:rPr>
          <w:sz w:val="22"/>
        </w:rPr>
      </w:pPr>
      <w:r>
        <w:rPr>
          <w:sz w:val="22"/>
        </w:rPr>
      </w:r>
    </w:p>
    <w:p>
      <w:pPr>
        <w:pStyle w:val="Normal"/>
        <w:rPr>
          <w:sz w:val="22"/>
        </w:rPr>
      </w:pPr>
      <w:r>
        <w:rPr>
          <w:sz w:val="22"/>
        </w:rPr>
      </w:r>
    </w:p>
    <w:p>
      <w:pPr>
        <w:pStyle w:val="Heading3"/>
        <w:numPr>
          <w:ilvl w:val="2"/>
          <w:numId w:val="1"/>
        </w:numPr>
        <w:rPr/>
      </w:pPr>
      <w:r>
        <w:rPr/>
        <w:t>Age of consent</w:t>
      </w:r>
    </w:p>
    <w:p>
      <w:pPr>
        <w:pStyle w:val="Normal"/>
        <w:rPr>
          <w:sz w:val="22"/>
        </w:rPr>
      </w:pPr>
      <w:r>
        <w:rPr>
          <w:sz w:val="22"/>
        </w:rPr>
      </w:r>
    </w:p>
    <w:p>
      <w:pPr>
        <w:pStyle w:val="TextBody"/>
        <w:rPr/>
      </w:pPr>
      <w:r>
        <w:rPr/>
        <w:t>The law prohibits sexual relations with and between young people under the age of 16 years.</w:t>
      </w:r>
    </w:p>
    <w:p>
      <w:pPr>
        <w:pStyle w:val="TextBody"/>
        <w:rPr/>
      </w:pPr>
      <w:r>
        <w:rPr/>
        <w:t xml:space="preserve">The fact that a person under 16 years of age gives consent is not a defence to this charge (although it may be if the person is up to 3 years older than the child involved unless the child is under 13 years old).  Further information about age of consent laws is available from the </w:t>
      </w:r>
      <w:hyperlink r:id="rId2" w:tgtFrame="_self">
        <w:r>
          <w:rPr>
            <w:rStyle w:val="InternetLink"/>
          </w:rPr>
          <w:t>Australian Institute of Family Studies website</w:t>
        </w:r>
      </w:hyperlink>
      <w:r>
        <w:rPr/>
        <w:t>.</w:t>
      </w:r>
    </w:p>
    <w:p>
      <w:pPr>
        <w:pStyle w:val="Heading4"/>
        <w:numPr>
          <w:ilvl w:val="3"/>
          <w:numId w:val="1"/>
        </w:numPr>
        <w:spacing w:before="200" w:after="283"/>
        <w:rPr/>
      </w:pPr>
      <w:r>
        <w:rPr/>
        <w:t>Contraception</w:t>
      </w:r>
    </w:p>
    <w:p>
      <w:pPr>
        <w:pStyle w:val="TextBody"/>
        <w:rPr/>
      </w:pPr>
      <w:r>
        <w:rPr/>
        <w:t>Decisions related to sexuality, such as taking the contraceptive pill, can be made by people under the age of 18. The decision is made between the person and a medical practitioner. There is no requirement for parents to be informed of any such decision.</w:t>
      </w:r>
    </w:p>
    <w:p>
      <w:pPr>
        <w:pStyle w:val="Heading4"/>
        <w:numPr>
          <w:ilvl w:val="3"/>
          <w:numId w:val="1"/>
        </w:numPr>
        <w:spacing w:before="200" w:after="283"/>
        <w:rPr/>
      </w:pPr>
      <w:r>
        <w:rPr/>
        <w:t>Same-sex sexual activity</w:t>
      </w:r>
    </w:p>
    <w:p>
      <w:pPr>
        <w:pStyle w:val="TextBody"/>
        <w:rPr/>
      </w:pPr>
      <w:r>
        <w:rPr/>
        <w:t>The Western Australian government passed amendments to the legislation regarding homosexuality and gay and lesbian people in March 2002. This legislation established new laws which:</w:t>
      </w:r>
    </w:p>
    <w:p>
      <w:pPr>
        <w:pStyle w:val="TextBody"/>
        <w:numPr>
          <w:ilvl w:val="0"/>
          <w:numId w:val="7"/>
        </w:numPr>
        <w:tabs>
          <w:tab w:val="left" w:pos="0" w:leader="none"/>
        </w:tabs>
        <w:ind w:left="707" w:hanging="283"/>
        <w:rPr/>
      </w:pPr>
      <w:r>
        <w:rPr/>
        <w:t>allow consensual sexual activity for anybody above the age of 16 regardless of sexual orientation</w:t>
      </w:r>
    </w:p>
    <w:p>
      <w:pPr>
        <w:pStyle w:val="TextBody"/>
        <w:numPr>
          <w:ilvl w:val="0"/>
          <w:numId w:val="7"/>
        </w:numPr>
        <w:tabs>
          <w:tab w:val="left" w:pos="0" w:leader="none"/>
        </w:tabs>
        <w:ind w:left="707" w:hanging="283"/>
        <w:rPr/>
      </w:pPr>
      <w:r>
        <w:rPr/>
        <w:t>recognise the status of homosexual de facto relationships and their families for certain legally binding rights and obligations</w:t>
      </w:r>
    </w:p>
    <w:p>
      <w:pPr>
        <w:pStyle w:val="TextBody"/>
        <w:numPr>
          <w:ilvl w:val="0"/>
          <w:numId w:val="7"/>
        </w:numPr>
        <w:tabs>
          <w:tab w:val="left" w:pos="0" w:leader="none"/>
        </w:tabs>
        <w:ind w:left="707" w:hanging="283"/>
        <w:rPr/>
      </w:pPr>
      <w:r>
        <w:rPr/>
        <w:t>make it unlawful to discriminate against someone because of their sexual orientation.</w:t>
      </w:r>
    </w:p>
    <w:p>
      <w:pPr>
        <w:pStyle w:val="Normal"/>
        <w:rPr>
          <w:sz w:val="22"/>
        </w:rPr>
      </w:pPr>
      <w:r>
        <w:rPr>
          <w:sz w:val="22"/>
        </w:rPr>
      </w:r>
    </w:p>
    <w:p>
      <w:pPr>
        <w:pStyle w:val="Normal"/>
        <w:rPr>
          <w:sz w:val="22"/>
        </w:rPr>
      </w:pPr>
      <w:r>
        <w:rPr>
          <w:sz w:val="22"/>
        </w:rPr>
      </w:r>
    </w:p>
    <w:p>
      <w:pPr>
        <w:pStyle w:val="Heading3"/>
        <w:numPr>
          <w:ilvl w:val="2"/>
          <w:numId w:val="1"/>
        </w:numPr>
        <w:rPr/>
      </w:pPr>
      <w:r>
        <w:rPr/>
        <w:t>How should a teacher deal with disclosures</w:t>
      </w:r>
    </w:p>
    <w:p>
      <w:pPr>
        <w:pStyle w:val="Normal"/>
        <w:rPr>
          <w:sz w:val="22"/>
        </w:rPr>
      </w:pPr>
      <w:r>
        <w:rPr>
          <w:sz w:val="22"/>
        </w:rPr>
      </w:r>
    </w:p>
    <w:p>
      <w:pPr>
        <w:pStyle w:val="TextBody"/>
        <w:rPr/>
      </w:pPr>
      <w:r>
        <w:rPr/>
        <w:t xml:space="preserve">Refer to the Guide: </w:t>
      </w:r>
      <w:hyperlink r:id="rId3" w:tgtFrame="_self">
        <w:r>
          <w:rPr>
            <w:rStyle w:val="InternetLink"/>
          </w:rPr>
          <w:t>Dealing with disclosures</w:t>
        </w:r>
      </w:hyperlink>
      <w:r>
        <w:rPr/>
        <w:t>.</w:t>
      </w:r>
    </w:p>
    <w:p>
      <w:pPr>
        <w:pStyle w:val="Normal"/>
        <w:rPr>
          <w:sz w:val="22"/>
        </w:rPr>
      </w:pPr>
      <w:r>
        <w:rPr>
          <w:sz w:val="22"/>
        </w:rPr>
      </w:r>
    </w:p>
    <w:p>
      <w:pPr>
        <w:pStyle w:val="Normal"/>
        <w:rPr>
          <w:sz w:val="22"/>
        </w:rPr>
      </w:pPr>
      <w:r>
        <w:rPr>
          <w:sz w:val="22"/>
        </w:rPr>
      </w:r>
    </w:p>
    <w:p>
      <w:pPr>
        <w:pStyle w:val="Heading3"/>
        <w:numPr>
          <w:ilvl w:val="2"/>
          <w:numId w:val="1"/>
        </w:numPr>
        <w:rPr/>
      </w:pPr>
      <w:r>
        <w:rPr/>
        <w:t>Relevant resources</w:t>
      </w:r>
    </w:p>
    <w:p>
      <w:pPr>
        <w:pStyle w:val="Normal"/>
        <w:rPr>
          <w:sz w:val="22"/>
        </w:rPr>
      </w:pPr>
      <w:r>
        <w:rPr>
          <w:sz w:val="22"/>
        </w:rPr>
      </w:r>
    </w:p>
    <w:p>
      <w:pPr>
        <w:pStyle w:val="Heading4"/>
        <w:numPr>
          <w:ilvl w:val="3"/>
          <w:numId w:val="1"/>
        </w:numPr>
        <w:spacing w:before="200" w:after="283"/>
        <w:rPr/>
      </w:pPr>
      <w:r>
        <w:rPr/>
        <w:t>Websites</w:t>
      </w:r>
    </w:p>
    <w:p>
      <w:pPr>
        <w:pStyle w:val="TextBody"/>
        <w:rPr/>
      </w:pPr>
      <w:hyperlink r:id="rId4" w:tgtFrame="_self">
        <w:r>
          <w:rPr>
            <w:rStyle w:val="InternetLink"/>
          </w:rPr>
          <w:t>Sexual Assault Resource Centre (SARC)  </w:t>
        </w:r>
      </w:hyperlink>
    </w:p>
    <w:p>
      <w:pPr>
        <w:pStyle w:val="TextBody"/>
        <w:rPr/>
      </w:pPr>
      <w:hyperlink r:id="rId5" w:tgtFrame="_self">
        <w:r>
          <w:rPr>
            <w:rStyle w:val="InternetLink"/>
          </w:rPr>
          <w:t>Child Protection</w:t>
        </w:r>
      </w:hyperlink>
      <w:r>
        <w:rPr/>
        <w:t>, WA Department of Education</w:t>
      </w:r>
    </w:p>
    <w:p>
      <w:pPr>
        <w:pStyle w:val="TextBody"/>
        <w:rPr/>
      </w:pPr>
      <w:hyperlink r:id="rId6" w:tgtFrame="_self">
        <w:r>
          <w:rPr>
            <w:rStyle w:val="InternetLink"/>
          </w:rPr>
          <w:t>Legal Aid WA InfoLine</w:t>
        </w:r>
      </w:hyperlink>
    </w:p>
    <w:p>
      <w:pPr>
        <w:pStyle w:val="TextBody"/>
        <w:rPr/>
      </w:pPr>
      <w:hyperlink r:id="rId7" w:tgtFrame="_self">
        <w:r>
          <w:rPr>
            <w:rStyle w:val="InternetLink"/>
          </w:rPr>
          <w:t>Aboriginal Legal Service of WA</w:t>
        </w:r>
      </w:hyperlink>
    </w:p>
    <w:p>
      <w:pPr>
        <w:pStyle w:val="Heading4"/>
        <w:numPr>
          <w:ilvl w:val="3"/>
          <w:numId w:val="1"/>
        </w:numPr>
        <w:spacing w:before="200" w:after="283"/>
        <w:rPr/>
      </w:pPr>
      <w:r>
        <w:rPr/>
        <w:t>Fact sheets/booklets/videos</w:t>
      </w:r>
    </w:p>
    <w:p>
      <w:pPr>
        <w:pStyle w:val="TextBody"/>
        <w:rPr/>
      </w:pPr>
      <w:hyperlink r:id="rId8" w:tgtFrame="_self">
        <w:r>
          <w:rPr>
            <w:rStyle w:val="InternetLink"/>
          </w:rPr>
          <w:t>What the law says about sex</w:t>
        </w:r>
      </w:hyperlink>
      <w:r>
        <w:rPr/>
        <w:t>, WA Department of Health</w:t>
      </w:r>
    </w:p>
    <w:p>
      <w:pPr>
        <w:pStyle w:val="TextBody"/>
        <w:rPr/>
      </w:pPr>
      <w:hyperlink r:id="rId9" w:tgtFrame="_self">
        <w:r>
          <w:rPr>
            <w:rStyle w:val="InternetLink"/>
          </w:rPr>
          <w:t>Ready, willing and able: A young person's guide to consent to sexual activity</w:t>
        </w:r>
      </w:hyperlink>
      <w:r>
        <w:rPr/>
        <w:t>, Sexual Assault Resource Centre (SARC)</w:t>
      </w:r>
    </w:p>
    <w:p>
      <w:pPr>
        <w:pStyle w:val="TextBody"/>
        <w:rPr/>
      </w:pPr>
      <w:hyperlink r:id="rId10" w:tgtFrame="_self">
        <w:r>
          <w:rPr>
            <w:rStyle w:val="InternetLink"/>
          </w:rPr>
          <w:t>Tea and consent</w:t>
        </w:r>
      </w:hyperlink>
      <w:r>
        <w:rPr/>
        <w:t xml:space="preserve"> video, UK Police</w:t>
      </w:r>
    </w:p>
    <w:p>
      <w:pPr>
        <w:pStyle w:val="TextBody"/>
        <w:rPr/>
      </w:pPr>
      <w:hyperlink r:id="rId11" w:tgtFrame="_self">
        <w:r>
          <w:rPr>
            <w:rStyle w:val="InternetLink"/>
          </w:rPr>
          <w:t>Sex and consent</w:t>
        </w:r>
      </w:hyperlink>
      <w:r>
        <w:rPr/>
        <w:t>, Legal Aid WA</w:t>
      </w:r>
    </w:p>
    <w:p>
      <w:pPr>
        <w:pStyle w:val="Normal"/>
        <w:rPr>
          <w:sz w:val="22"/>
        </w:rPr>
      </w:pPr>
      <w:r>
        <w:rPr>
          <w:sz w:val="22"/>
        </w:rPr>
      </w:r>
    </w:p>
    <w:p>
      <w:pPr>
        <w:pStyle w:val="Normal"/>
        <w:rPr>
          <w:sz w:val="22"/>
        </w:rPr>
      </w:pPr>
      <w:r>
        <w:rPr>
          <w:sz w:val="22"/>
        </w:rPr>
      </w:r>
    </w:p>
    <w:p>
      <w:pPr>
        <w:pStyle w:val="Normal"/>
        <w:rPr>
          <w:sz w:val="22"/>
        </w:rPr>
      </w:pPr>
      <w:r>
        <w:rPr>
          <w:sz w:val="22"/>
        </w:rPr>
      </w:r>
    </w:p>
    <w:p>
      <w:pPr>
        <w:pStyle w:val="Heading3"/>
        <w:numPr>
          <w:ilvl w:val="2"/>
          <w:numId w:val="1"/>
        </w:numPr>
        <w:rPr/>
      </w:pPr>
      <w:r>
        <w:rPr/>
        <w:t>Postscript</w:t>
      </w:r>
    </w:p>
    <w:p>
      <w:pPr>
        <w:pStyle w:val="Normal"/>
        <w:rPr>
          <w:sz w:val="22"/>
        </w:rPr>
      </w:pPr>
      <w:r>
        <w:rPr>
          <w:sz w:val="22"/>
        </w:rPr>
      </w:r>
    </w:p>
    <w:p>
      <w:pPr>
        <w:pStyle w:val="Normal"/>
        <w:rPr>
          <w:sz w:val="22"/>
        </w:rPr>
      </w:pPr>
      <w:r>
        <w:rPr>
          <w:sz w:val="22"/>
        </w:rPr>
      </w:r>
    </w:p>
    <w:p>
      <w:pPr>
        <w:pStyle w:val="Heading2"/>
        <w:numPr>
          <w:ilvl w:val="1"/>
          <w:numId w:val="1"/>
        </w:numPr>
        <w:rPr/>
      </w:pPr>
      <w:r>
        <w:rPr/>
        <w:t>This Background Note relates to the following Learning Activities:</w:t>
      </w:r>
    </w:p>
    <w:p>
      <w:pPr>
        <w:pStyle w:val="Normal"/>
        <w:rPr>
          <w:sz w:val="22"/>
        </w:rPr>
      </w:pPr>
      <w:r>
        <w:rPr>
          <w:sz w:val="22"/>
        </w:rPr>
      </w:r>
    </w:p>
    <w:p>
      <w:pPr>
        <w:pStyle w:val="Normal"/>
        <w:numPr>
          <w:ilvl w:val="0"/>
          <w:numId w:val="2"/>
        </w:numPr>
        <w:rPr>
          <w:sz w:val="20"/>
        </w:rPr>
      </w:pPr>
      <w:hyperlink r:id="rId12">
        <w:r>
          <w:rPr>
            <w:rStyle w:val="InternetLink"/>
            <w:sz w:val="20"/>
          </w:rPr>
          <w:t>Sexual consent and the law</w:t>
        </w:r>
      </w:hyperlink>
    </w:p>
    <w:p>
      <w:pPr>
        <w:pStyle w:val="Normal"/>
        <w:rPr>
          <w:sz w:val="20"/>
        </w:rPr>
      </w:pPr>
      <w:r>
        <w:rPr>
          <w:sz w:val="20"/>
        </w:rPr>
      </w:r>
    </w:p>
    <w:p>
      <w:pPr>
        <w:pStyle w:val="Normal"/>
        <w:rPr>
          <w:sz w:val="20"/>
        </w:rPr>
      </w:pPr>
      <w:r>
        <w:rPr>
          <w:sz w:val="20"/>
        </w:rPr>
      </w:r>
    </w:p>
    <w:p>
      <w:pPr>
        <w:pStyle w:val="Heading3"/>
        <w:numPr>
          <w:ilvl w:val="2"/>
          <w:numId w:val="1"/>
        </w:numPr>
        <w:rPr/>
      </w:pPr>
      <w:r>
        <w:rPr/>
        <w:t>Date printed</w:t>
      </w:r>
    </w:p>
    <w:p>
      <w:pPr>
        <w:pStyle w:val="Normal"/>
        <w:rPr>
          <w:sz w:val="20"/>
        </w:rPr>
      </w:pPr>
      <w:r>
        <w:rPr>
          <w:sz w:val="20"/>
        </w:rPr>
      </w:r>
    </w:p>
    <w:p>
      <w:pPr>
        <w:pStyle w:val="Normal"/>
        <w:rPr>
          <w:sz w:val="20"/>
        </w:rPr>
      </w:pPr>
      <w:r>
        <w:rPr>
          <w:sz w:val="20"/>
        </w:rPr>
        <w:fldChar w:fldCharType="begin"/>
      </w:r>
      <w:r>
        <w:instrText> DATE \@"d\ MMMM\ yyyy" </w:instrText>
      </w:r>
      <w:r>
        <w:fldChar w:fldCharType="separate"/>
      </w:r>
      <w:r>
        <w:t>29 March 2024</w:t>
      </w:r>
      <w:r>
        <w:fldChar w:fldCharType="end"/>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sectPr>
      <w:headerReference w:type="default" r:id="rId13"/>
      <w:headerReference w:type="first" r:id="rId14"/>
      <w:footerReference w:type="default" r:id="rId15"/>
      <w:footerReference w:type="first" r:id="rId16"/>
      <w:type w:val="nextPage"/>
      <w:pgSz w:w="11906" w:h="16838"/>
      <w:pgMar w:left="720" w:right="720" w:header="708" w:top="764" w:footer="0" w:bottom="72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Calibri">
    <w:charset w:val="01"/>
    <w:family w:val="swiss"/>
    <w:pitch w:val="variable"/>
  </w:font>
  <w:font w:name="Symbol">
    <w:charset w:val="01"/>
    <w:family w:val="roman"/>
    <w:pitch w:val="variable"/>
  </w:font>
  <w:font w:name="Courier New">
    <w:charset w:val="01"/>
    <w:family w:val="modern"/>
    <w:pitch w:val="default"/>
  </w:font>
  <w:font w:name="Wingdings">
    <w:charset w:val="02"/>
    <w:family w:val="auto"/>
    <w:pitch w:val="variable"/>
  </w:font>
  <w:font w:name="Lucida Grande">
    <w:charset w:val="01"/>
    <w:family w:val="auto"/>
    <w:pitch w:val="variable"/>
  </w:font>
  <w:font w:name="News Gothic MT">
    <w:altName w:val="Malgun Gothic"/>
    <w:charset w:val="01"/>
    <w:family w:val="auto"/>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Normal"/>
      <w:rPr/>
    </w:pPr>
    <w:r>
      <w:rPr/>
    </w:r>
  </w:p>
  <w:tbl>
    <w:tblPr>
      <w:tblW w:w="10676" w:type="dxa"/>
      <w:jc w:val="left"/>
      <w:tblInd w:w="0" w:type="dxa"/>
      <w:tblBorders>
        <w:top w:val="single" w:sz="4" w:space="0" w:color="000000"/>
      </w:tblBorders>
      <w:tblCellMar>
        <w:top w:w="0" w:type="dxa"/>
        <w:left w:w="108" w:type="dxa"/>
        <w:bottom w:w="0" w:type="dxa"/>
        <w:right w:w="108" w:type="dxa"/>
      </w:tblCellMar>
    </w:tblPr>
    <w:tblGrid>
      <w:gridCol w:w="8897"/>
      <w:gridCol w:w="1779"/>
    </w:tblGrid>
    <w:tr>
      <w:trPr/>
      <w:tc>
        <w:tcPr>
          <w:tcW w:w="8897" w:type="dxa"/>
          <w:tcBorders>
            <w:top w:val="single" w:sz="4" w:space="0" w:color="000000"/>
          </w:tcBorders>
          <w:shd w:fill="auto" w:val="clear"/>
        </w:tcPr>
        <w:p>
          <w:pPr>
            <w:pStyle w:val="Footer"/>
            <w:snapToGrid w:val="false"/>
            <w:rPr>
              <w:sz w:val="22"/>
            </w:rPr>
          </w:pPr>
          <w:r>
            <w:rPr>
              <w:sz w:val="22"/>
            </w:rPr>
          </w:r>
        </w:p>
        <w:p>
          <w:pPr>
            <w:pStyle w:val="Footer"/>
            <w:rPr/>
          </w:pPr>
          <w:r>
            <w:rPr>
              <w:color w:val="808080"/>
              <w:sz w:val="22"/>
              <w:szCs w:val="28"/>
            </w:rPr>
            <w:t>Background Note</w:t>
          </w:r>
          <w:r>
            <w:rPr>
              <w:sz w:val="22"/>
            </w:rPr>
            <w:t>: Sex and the law</w:t>
          </w:r>
        </w:p>
        <w:p>
          <w:pPr>
            <w:pStyle w:val="Footer"/>
            <w:rPr/>
          </w:pPr>
          <w:r>
            <w:rPr>
              <w:color w:val="7F7F7F"/>
              <w:sz w:val="20"/>
              <w:szCs w:val="20"/>
            </w:rPr>
            <w:t xml:space="preserve">© </w:t>
          </w:r>
          <w:r>
            <w:rPr>
              <w:color w:val="7F7F7F"/>
              <w:sz w:val="20"/>
              <w:szCs w:val="20"/>
            </w:rPr>
            <w:fldChar w:fldCharType="begin"/>
          </w:r>
          <w:r>
            <w:instrText> DATE \@"yyyy" </w:instrText>
          </w:r>
          <w:r>
            <w:fldChar w:fldCharType="separate"/>
          </w:r>
          <w:r>
            <w:t>2024</w:t>
          </w:r>
          <w:r>
            <w:fldChar w:fldCharType="end"/>
          </w:r>
          <w:r>
            <w:rPr>
              <w:color w:val="7F7F7F"/>
              <w:sz w:val="20"/>
              <w:szCs w:val="20"/>
            </w:rPr>
            <w:t xml:space="preserve"> Government of Western Australia Department of Health </w:t>
          </w:r>
          <w:hyperlink r:id="rId1">
            <w:r>
              <w:rPr>
                <w:rStyle w:val="InternetLink"/>
                <w:sz w:val="20"/>
                <w:szCs w:val="20"/>
              </w:rPr>
              <w:t>www.gdhr.wa.gov.au/</w:t>
            </w:r>
          </w:hyperlink>
          <w:r>
            <w:rPr>
              <w:color w:val="7F7F7F"/>
              <w:sz w:val="20"/>
              <w:szCs w:val="20"/>
            </w:rPr>
            <w:t xml:space="preserve"> </w:t>
          </w:r>
        </w:p>
        <w:p>
          <w:pPr>
            <w:pStyle w:val="Footer"/>
            <w:rPr>
              <w:color w:val="7F7F7F"/>
              <w:sz w:val="20"/>
              <w:szCs w:val="20"/>
            </w:rPr>
          </w:pPr>
          <w:r>
            <w:rPr>
              <w:color w:val="7F7F7F"/>
              <w:sz w:val="20"/>
              <w:szCs w:val="20"/>
            </w:rPr>
          </w:r>
        </w:p>
      </w:tc>
      <w:tc>
        <w:tcPr>
          <w:tcW w:w="1779" w:type="dxa"/>
          <w:tcBorders>
            <w:top w:val="single" w:sz="4" w:space="0" w:color="000000"/>
          </w:tcBorders>
          <w:shd w:fill="auto" w:val="clear"/>
        </w:tcPr>
        <w:p>
          <w:pPr>
            <w:pStyle w:val="Footer"/>
            <w:snapToGrid w:val="false"/>
            <w:jc w:val="right"/>
            <w:rPr>
              <w:sz w:val="22"/>
            </w:rPr>
          </w:pPr>
          <w:r>
            <w:rPr>
              <w:sz w:val="22"/>
            </w:rPr>
          </w:r>
        </w:p>
        <w:p>
          <w:pPr>
            <w:pStyle w:val="Footer"/>
            <w:jc w:val="right"/>
            <w:rPr/>
          </w:pPr>
          <w:r>
            <w:rPr>
              <w:sz w:val="22"/>
            </w:rPr>
            <w:t xml:space="preserve">Page </w:t>
          </w:r>
          <w:r>
            <w:rPr>
              <w:sz w:val="22"/>
            </w:rPr>
            <w:fldChar w:fldCharType="begin"/>
          </w:r>
          <w:r>
            <w:instrText> PAGE </w:instrText>
          </w:r>
          <w:r>
            <w:fldChar w:fldCharType="separate"/>
          </w:r>
          <w:r>
            <w:t>4</w:t>
          </w:r>
          <w:r>
            <w:fldChar w:fldCharType="end"/>
          </w:r>
          <w:r>
            <w:rPr>
              <w:sz w:val="22"/>
            </w:rPr>
            <w:t xml:space="preserve"> of </w:t>
          </w:r>
          <w:r>
            <w:rPr>
              <w:sz w:val="22"/>
            </w:rPr>
            <w:fldChar w:fldCharType="begin"/>
          </w:r>
          <w:r>
            <w:instrText> NUMPAGES \* ARABIC </w:instrText>
          </w:r>
          <w:r>
            <w:fldChar w:fldCharType="separate"/>
          </w:r>
          <w:r>
            <w:t>4</w:t>
          </w:r>
          <w:r>
            <w:fldChar w:fldCharType="end"/>
          </w:r>
        </w:p>
        <w:p>
          <w:pPr>
            <w:pStyle w:val="Footer"/>
            <w:rPr>
              <w:sz w:val="22"/>
            </w:rPr>
          </w:pPr>
          <w:r>
            <w:rPr>
              <w:sz w:val="22"/>
            </w:rPr>
          </w:r>
        </w:p>
      </w:tc>
    </w:tr>
  </w:tbl>
  <w:p>
    <w:pPr>
      <w:pStyle w:val="Footer"/>
      <w:rPr/>
    </w:pPr>
    <w:r>
      <w:rPr/>
    </w:r>
  </w:p>
  <w:p>
    <w:pPr>
      <w:pStyle w:val="Footer"/>
      <w:rPr>
        <w:rFonts w:eastAsia="Arial"/>
      </w:rPr>
    </w:pPr>
    <w:r>
      <w:rPr>
        <w:rFonts w:eastAsia="Arial"/>
      </w:rPr>
      <w:t xml:space="preserve"> </w:t>
    </w:r>
    <w:r>
      <mc:AlternateContent>
        <mc:Choice Requires="wps">
          <w:drawing>
            <wp:anchor behindDoc="1" distT="0" distB="0" distL="114935" distR="114935" simplePos="0" locked="0" layoutInCell="1" allowOverlap="1" relativeHeight="5">
              <wp:simplePos x="0" y="0"/>
              <wp:positionH relativeFrom="column">
                <wp:posOffset>5257800</wp:posOffset>
              </wp:positionH>
              <wp:positionV relativeFrom="paragraph">
                <wp:posOffset>24130</wp:posOffset>
              </wp:positionV>
              <wp:extent cx="1600200" cy="571500"/>
              <wp:effectExtent l="0" t="0" r="0" b="0"/>
              <wp:wrapNone/>
              <wp:docPr id="2" name="Frame1"/>
              <a:graphic xmlns:a="http://schemas.openxmlformats.org/drawingml/2006/main">
                <a:graphicData uri="http://schemas.microsoft.com/office/word/2010/wordprocessingShape">
                  <wps:wsp>
                    <wps:cNvSpPr txBox="1"/>
                    <wps:spPr>
                      <a:xfrm>
                        <a:off x="0" y="0"/>
                        <a:ext cx="1600200" cy="571500"/>
                      </a:xfrm>
                      <a:prstGeom prst="rect"/>
                    </wps:spPr>
                    <wps:txbx>
                      <w:txbxContent>
                        <w:p>
                          <w:pPr>
                            <w:pStyle w:val="Footer"/>
                            <w:jc w:val="right"/>
                            <w:rPr>
                              <w:sz w:val="22"/>
                            </w:rPr>
                          </w:pPr>
                          <w:r>
                            <w:rPr>
                              <w:sz w:val="22"/>
                            </w:rPr>
                          </w:r>
                        </w:p>
                      </w:txbxContent>
                    </wps:txbx>
                    <wps:bodyPr anchor="t" lIns="92075" tIns="46355" rIns="92075" bIns="46355">
                      <a:noAutofit/>
                    </wps:bodyPr>
                  </wps:wsp>
                </a:graphicData>
              </a:graphic>
            </wp:anchor>
          </w:drawing>
        </mc:Choice>
        <mc:Fallback>
          <w:pict>
            <v:rect style="position:absolute;rotation:0;width:126pt;height:45pt;mso-wrap-distance-left:9.05pt;mso-wrap-distance-right:9.05pt;margin-top:1.9pt;mso-position-vertical-relative:text;margin-left:414pt;mso-position-horizontal-relative:text">
              <v:textbox inset="0.100694444444444in,0.0506944444444444in,0.100694444444444in,0.0506944444444444in">
                <w:txbxContent>
                  <w:p>
                    <w:pPr>
                      <w:pStyle w:val="Footer"/>
                      <w:jc w:val="right"/>
                      <w:rPr>
                        <w:sz w:val="22"/>
                      </w:rPr>
                    </w:pPr>
                    <w:r>
                      <w:rPr>
                        <w:sz w:val="22"/>
                      </w:rPr>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tbl>
    <w:tblPr>
      <w:tblW w:w="10676" w:type="dxa"/>
      <w:jc w:val="left"/>
      <w:tblInd w:w="0" w:type="dxa"/>
      <w:tblBorders>
        <w:top w:val="single" w:sz="4" w:space="0" w:color="000000"/>
      </w:tblBorders>
      <w:tblCellMar>
        <w:top w:w="0" w:type="dxa"/>
        <w:left w:w="108" w:type="dxa"/>
        <w:bottom w:w="0" w:type="dxa"/>
        <w:right w:w="108" w:type="dxa"/>
      </w:tblCellMar>
    </w:tblPr>
    <w:tblGrid>
      <w:gridCol w:w="8897"/>
      <w:gridCol w:w="1779"/>
    </w:tblGrid>
    <w:tr>
      <w:trPr/>
      <w:tc>
        <w:tcPr>
          <w:tcW w:w="8897" w:type="dxa"/>
          <w:tcBorders>
            <w:top w:val="single" w:sz="4" w:space="0" w:color="000000"/>
          </w:tcBorders>
          <w:shd w:fill="auto" w:val="clear"/>
        </w:tcPr>
        <w:p>
          <w:pPr>
            <w:pStyle w:val="Footer"/>
            <w:snapToGrid w:val="false"/>
            <w:rPr>
              <w:sz w:val="22"/>
            </w:rPr>
          </w:pPr>
          <w:r>
            <w:rPr>
              <w:sz w:val="22"/>
            </w:rPr>
          </w:r>
        </w:p>
        <w:p>
          <w:pPr>
            <w:pStyle w:val="Footer"/>
            <w:rPr/>
          </w:pPr>
          <w:r>
            <w:rPr>
              <w:color w:val="808080"/>
              <w:sz w:val="22"/>
              <w:szCs w:val="28"/>
            </w:rPr>
            <w:t>Background Note</w:t>
          </w:r>
          <w:r>
            <w:rPr>
              <w:sz w:val="22"/>
            </w:rPr>
            <w:t>: Sex and the law</w:t>
          </w:r>
        </w:p>
        <w:p>
          <w:pPr>
            <w:pStyle w:val="Footer"/>
            <w:rPr/>
          </w:pPr>
          <w:r>
            <w:rPr>
              <w:color w:val="7F7F7F"/>
              <w:sz w:val="20"/>
              <w:szCs w:val="20"/>
            </w:rPr>
            <w:t xml:space="preserve">© </w:t>
          </w:r>
          <w:r>
            <w:rPr>
              <w:color w:val="7F7F7F"/>
              <w:sz w:val="20"/>
              <w:szCs w:val="20"/>
            </w:rPr>
            <w:fldChar w:fldCharType="begin"/>
          </w:r>
          <w:r>
            <w:instrText> DATE \@"yyyy" </w:instrText>
          </w:r>
          <w:r>
            <w:fldChar w:fldCharType="separate"/>
          </w:r>
          <w:r>
            <w:t>2024</w:t>
          </w:r>
          <w:r>
            <w:fldChar w:fldCharType="end"/>
          </w:r>
          <w:r>
            <w:rPr>
              <w:color w:val="7F7F7F"/>
              <w:sz w:val="20"/>
              <w:szCs w:val="20"/>
            </w:rPr>
            <w:t xml:space="preserve"> Government of Western Australia Department of Health </w:t>
          </w:r>
          <w:hyperlink r:id="rId1">
            <w:r>
              <w:rPr>
                <w:rStyle w:val="InternetLink"/>
                <w:sz w:val="20"/>
                <w:szCs w:val="20"/>
              </w:rPr>
              <w:t>www.gdhr.wa.gov.au/</w:t>
            </w:r>
          </w:hyperlink>
          <w:r>
            <w:rPr>
              <w:color w:val="7F7F7F"/>
              <w:sz w:val="20"/>
              <w:szCs w:val="20"/>
            </w:rPr>
            <w:t xml:space="preserve"> </w:t>
          </w:r>
        </w:p>
        <w:p>
          <w:pPr>
            <w:pStyle w:val="Footer"/>
            <w:rPr>
              <w:color w:val="7F7F7F"/>
              <w:sz w:val="20"/>
              <w:szCs w:val="20"/>
            </w:rPr>
          </w:pPr>
          <w:r>
            <w:rPr>
              <w:color w:val="7F7F7F"/>
              <w:sz w:val="20"/>
              <w:szCs w:val="20"/>
            </w:rPr>
          </w:r>
        </w:p>
      </w:tc>
      <w:tc>
        <w:tcPr>
          <w:tcW w:w="1779" w:type="dxa"/>
          <w:tcBorders>
            <w:top w:val="single" w:sz="4" w:space="0" w:color="000000"/>
          </w:tcBorders>
          <w:shd w:fill="auto" w:val="clear"/>
        </w:tcPr>
        <w:p>
          <w:pPr>
            <w:pStyle w:val="Footer"/>
            <w:snapToGrid w:val="false"/>
            <w:jc w:val="right"/>
            <w:rPr>
              <w:sz w:val="22"/>
            </w:rPr>
          </w:pPr>
          <w:r>
            <w:rPr>
              <w:sz w:val="22"/>
            </w:rPr>
          </w:r>
        </w:p>
        <w:p>
          <w:pPr>
            <w:pStyle w:val="Footer"/>
            <w:jc w:val="right"/>
            <w:rPr/>
          </w:pPr>
          <w:r>
            <w:rPr>
              <w:sz w:val="22"/>
            </w:rPr>
            <w:t xml:space="preserve">Page </w:t>
          </w:r>
          <w:r>
            <w:rPr>
              <w:sz w:val="22"/>
            </w:rPr>
            <w:fldChar w:fldCharType="begin"/>
          </w:r>
          <w:r>
            <w:instrText> PAGE </w:instrText>
          </w:r>
          <w:r>
            <w:fldChar w:fldCharType="separate"/>
          </w:r>
          <w:r>
            <w:t>1</w:t>
          </w:r>
          <w:r>
            <w:fldChar w:fldCharType="end"/>
          </w:r>
          <w:r>
            <w:rPr>
              <w:sz w:val="22"/>
            </w:rPr>
            <w:t xml:space="preserve"> of </w:t>
          </w:r>
          <w:r>
            <w:rPr>
              <w:sz w:val="22"/>
            </w:rPr>
            <w:fldChar w:fldCharType="begin"/>
          </w:r>
          <w:r>
            <w:instrText> NUMPAGES \* ARABIC </w:instrText>
          </w:r>
          <w:r>
            <w:fldChar w:fldCharType="separate"/>
          </w:r>
          <w:r>
            <w:t>4</w:t>
          </w:r>
          <w:r>
            <w:fldChar w:fldCharType="end"/>
          </w:r>
        </w:p>
        <w:p>
          <w:pPr>
            <w:pStyle w:val="Footer"/>
            <w:rPr>
              <w:sz w:val="22"/>
            </w:rPr>
          </w:pPr>
          <w:r>
            <w:rPr>
              <w:sz w:val="22"/>
            </w:rPr>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79" w:type="dxa"/>
      <w:jc w:val="left"/>
      <w:tblInd w:w="0" w:type="dxa"/>
      <w:tblBorders>
        <w:bottom w:val="single" w:sz="4" w:space="0" w:color="000000"/>
        <w:insideH w:val="single" w:sz="4" w:space="0" w:color="000000"/>
      </w:tblBorders>
      <w:tblCellMar>
        <w:top w:w="0" w:type="dxa"/>
        <w:left w:w="108" w:type="dxa"/>
        <w:bottom w:w="0" w:type="dxa"/>
        <w:right w:w="108" w:type="dxa"/>
      </w:tblCellMar>
    </w:tblPr>
    <w:tblGrid>
      <w:gridCol w:w="10440"/>
      <w:gridCol w:w="239"/>
    </w:tblGrid>
    <w:tr>
      <w:trPr/>
      <w:tc>
        <w:tcPr>
          <w:tcW w:w="10440" w:type="dxa"/>
          <w:tcBorders>
            <w:bottom w:val="single" w:sz="4" w:space="0" w:color="000000"/>
            <w:insideH w:val="single" w:sz="4" w:space="0" w:color="000000"/>
          </w:tcBorders>
          <w:shd w:fill="auto" w:val="clear"/>
        </w:tcPr>
        <w:p>
          <w:pPr>
            <w:pStyle w:val="Header"/>
            <w:rPr/>
          </w:pPr>
          <w:r>
            <w:rPr>
              <w:b/>
              <w:color w:val="3190C9"/>
              <w:sz w:val="32"/>
              <w:szCs w:val="32"/>
              <w:lang w:val="en-AU"/>
            </w:rPr>
            <w:t>Sex and the law</w:t>
          </w:r>
          <w:r>
            <w:rPr>
              <w:b/>
              <w:color w:val="FFFFFF"/>
              <w:sz w:val="48"/>
              <w:szCs w:val="48"/>
            </w:rPr>
            <w:br/>
          </w:r>
          <w:r>
            <w:rPr>
              <w:color w:val="808080"/>
              <w:sz w:val="22"/>
              <w:szCs w:val="28"/>
            </w:rPr>
            <w:t>Background Note</w:t>
          </w:r>
          <w:r>
            <w:rPr>
              <w:color w:val="808080"/>
            </w:rPr>
            <w:br/>
          </w:r>
        </w:p>
      </w:tc>
      <w:tc>
        <w:tcPr>
          <w:tcW w:w="239" w:type="dxa"/>
          <w:tcBorders>
            <w:bottom w:val="single" w:sz="4" w:space="0" w:color="000000"/>
            <w:insideH w:val="single" w:sz="4" w:space="0" w:color="000000"/>
          </w:tcBorders>
          <w:shd w:fill="auto" w:val="clear"/>
        </w:tcPr>
        <w:p>
          <w:pPr>
            <w:pStyle w:val="Normal"/>
            <w:snapToGrid w:val="false"/>
            <w:jc w:val="right"/>
            <w:rPr>
              <w:color w:val="FFFFFF"/>
            </w:rPr>
          </w:pPr>
          <w:r>
            <w:rPr>
              <w:color w:val="FFFFFF"/>
            </w:rPr>
          </w:r>
        </w:p>
      </w:tc>
    </w:tr>
  </w:tbl>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76" w:type="dxa"/>
      <w:jc w:val="left"/>
      <w:tblInd w:w="0" w:type="dxa"/>
      <w:tblBorders>
        <w:bottom w:val="single" w:sz="4" w:space="0" w:color="000000"/>
        <w:insideH w:val="single" w:sz="4" w:space="0" w:color="000000"/>
      </w:tblBorders>
      <w:tblCellMar>
        <w:top w:w="0" w:type="dxa"/>
        <w:left w:w="108" w:type="dxa"/>
        <w:bottom w:w="0" w:type="dxa"/>
        <w:right w:w="108" w:type="dxa"/>
      </w:tblCellMar>
    </w:tblPr>
    <w:tblGrid>
      <w:gridCol w:w="7904"/>
      <w:gridCol w:w="2772"/>
    </w:tblGrid>
    <w:tr>
      <w:trPr/>
      <w:tc>
        <w:tcPr>
          <w:tcW w:w="7904" w:type="dxa"/>
          <w:tcBorders>
            <w:bottom w:val="single" w:sz="4" w:space="0" w:color="000000"/>
            <w:insideH w:val="single" w:sz="4" w:space="0" w:color="000000"/>
          </w:tcBorders>
          <w:shd w:fill="auto" w:val="clear"/>
        </w:tcPr>
        <w:p>
          <w:pPr>
            <w:pStyle w:val="Header"/>
            <w:rPr/>
          </w:pPr>
          <w:r>
            <w:rPr>
              <w:b/>
              <w:color w:val="3190C9"/>
              <w:sz w:val="48"/>
              <w:szCs w:val="48"/>
              <w:lang w:val="en-AU"/>
            </w:rPr>
            <w:t>Sex and the law</w:t>
          </w:r>
          <w:r>
            <w:rPr>
              <w:b/>
              <w:color w:val="FFFFFF"/>
              <w:sz w:val="48"/>
              <w:szCs w:val="48"/>
            </w:rPr>
            <w:br/>
          </w:r>
          <w:r>
            <w:rPr>
              <w:color w:val="808080"/>
              <w:sz w:val="28"/>
              <w:szCs w:val="28"/>
            </w:rPr>
            <w:t>Background Note</w:t>
          </w:r>
        </w:p>
        <w:p>
          <w:pPr>
            <w:pStyle w:val="Header"/>
            <w:rPr>
              <w:color w:val="FFFFFF"/>
              <w:sz w:val="28"/>
            </w:rPr>
          </w:pPr>
          <w:r>
            <w:rPr>
              <w:color w:val="FFFFFF"/>
              <w:sz w:val="28"/>
            </w:rPr>
          </w:r>
        </w:p>
      </w:tc>
      <w:tc>
        <w:tcPr>
          <w:tcW w:w="2772" w:type="dxa"/>
          <w:tcBorders>
            <w:bottom w:val="single" w:sz="4" w:space="0" w:color="000000"/>
            <w:insideH w:val="single" w:sz="4" w:space="0" w:color="000000"/>
          </w:tcBorders>
          <w:shd w:fill="auto" w:val="clear"/>
        </w:tcPr>
        <w:p>
          <w:pPr>
            <w:pStyle w:val="Normal"/>
            <w:jc w:val="right"/>
            <w:rPr>
              <w:lang w:val="en-AU" w:eastAsia="en-US"/>
            </w:rPr>
          </w:pPr>
          <w:r>
            <w:rPr>
              <w:lang w:val="en-AU" w:eastAsia="en-US"/>
            </w:rPr>
            <w:drawing>
              <wp:inline distT="0" distB="0" distL="0" distR="0">
                <wp:extent cx="1622425" cy="749935"/>
                <wp:effectExtent l="0" t="0" r="0" b="0"/>
                <wp:docPr id="1" name="Picture 1-DM-I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DM-I0" descr=""/>
                        <pic:cNvPicPr>
                          <a:picLocks noChangeAspect="1" noChangeArrowheads="1"/>
                        </pic:cNvPicPr>
                      </pic:nvPicPr>
                      <pic:blipFill>
                        <a:blip r:embed="rId1"/>
                        <a:stretch>
                          <a:fillRect/>
                        </a:stretch>
                      </pic:blipFill>
                      <pic:spPr bwMode="auto">
                        <a:xfrm>
                          <a:off x="0" y="0"/>
                          <a:ext cx="1622425" cy="749935"/>
                        </a:xfrm>
                        <a:prstGeom prst="rect">
                          <a:avLst/>
                        </a:prstGeom>
                      </pic:spPr>
                    </pic:pic>
                  </a:graphicData>
                </a:graphic>
              </wp:inline>
            </w:drawing>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rFonts w:cs="Symbol"/>
      </w:rPr>
    </w:lvl>
  </w:abstractNum>
  <w:abstractNum w:abstractNumId="3">
    <w:lvl w:ilvl="0">
      <w:start w:val="1"/>
      <w:numFmt w:val="bullet"/>
      <w:lvlText w:val=""/>
      <w:lvlJc w:val="left"/>
      <w:pPr>
        <w:ind w:left="720" w:hanging="360"/>
      </w:pPr>
      <w:rPr>
        <w:rFonts w:ascii="Symbol" w:hAnsi="Symbol" w:cs="Symbol" w:hint="default"/>
        <w:rFonts w:cs="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kinsoku w:val="true"/>
      <w:overflowPunct w:val="true"/>
      <w:autoSpaceDE w:val="true"/>
      <w:bidi w:val="0"/>
    </w:pPr>
    <w:rPr>
      <w:rFonts w:ascii="Arial" w:hAnsi="Arial" w:eastAsia="MS PGothic" w:cs="Arial"/>
      <w:color w:val="auto"/>
      <w:sz w:val="24"/>
      <w:szCs w:val="24"/>
      <w:lang w:val="en-US" w:bidi="ar-SA" w:eastAsia="zh-CN"/>
    </w:rPr>
  </w:style>
  <w:style w:type="paragraph" w:styleId="Heading1">
    <w:name w:val="Heading 1"/>
    <w:basedOn w:val="Normal"/>
    <w:next w:val="Normal"/>
    <w:qFormat/>
    <w:pPr>
      <w:keepNext/>
      <w:keepLines/>
      <w:numPr>
        <w:ilvl w:val="0"/>
        <w:numId w:val="1"/>
      </w:numPr>
      <w:spacing w:before="480" w:after="0"/>
      <w:outlineLvl w:val="0"/>
      <w:outlineLvl w:val="0"/>
    </w:pPr>
    <w:rPr>
      <w:b/>
      <w:bCs/>
      <w:color w:val="3190C9"/>
      <w:sz w:val="40"/>
      <w:szCs w:val="32"/>
      <w:lang w:val="en-US"/>
    </w:rPr>
  </w:style>
  <w:style w:type="paragraph" w:styleId="Heading2">
    <w:name w:val="Heading 2"/>
    <w:basedOn w:val="Normal"/>
    <w:next w:val="Normal"/>
    <w:qFormat/>
    <w:pPr>
      <w:keepNext/>
      <w:keepLines/>
      <w:numPr>
        <w:ilvl w:val="1"/>
        <w:numId w:val="1"/>
      </w:numPr>
      <w:spacing w:before="200" w:after="120"/>
      <w:outlineLvl w:val="1"/>
      <w:outlineLvl w:val="1"/>
    </w:pPr>
    <w:rPr>
      <w:b/>
      <w:bCs/>
      <w:color w:val="3190C9"/>
      <w:sz w:val="28"/>
      <w:szCs w:val="26"/>
    </w:rPr>
  </w:style>
  <w:style w:type="paragraph" w:styleId="Heading3">
    <w:name w:val="Heading 3"/>
    <w:basedOn w:val="Normal"/>
    <w:next w:val="Normal"/>
    <w:qFormat/>
    <w:pPr>
      <w:keepNext/>
      <w:keepLines/>
      <w:numPr>
        <w:ilvl w:val="2"/>
        <w:numId w:val="1"/>
      </w:numPr>
      <w:spacing w:before="200" w:after="0"/>
      <w:outlineLvl w:val="2"/>
      <w:outlineLvl w:val="2"/>
    </w:pPr>
    <w:rPr>
      <w:b/>
      <w:bCs/>
      <w:color w:val="3190C9"/>
      <w:sz w:val="26"/>
    </w:rPr>
  </w:style>
  <w:style w:type="paragraph" w:styleId="Heading4">
    <w:name w:val="Heading 4"/>
    <w:basedOn w:val="Normal"/>
    <w:next w:val="Normal"/>
    <w:qFormat/>
    <w:pPr>
      <w:keepNext/>
      <w:keepLines/>
      <w:numPr>
        <w:ilvl w:val="3"/>
        <w:numId w:val="1"/>
      </w:numPr>
      <w:spacing w:before="200" w:after="0"/>
      <w:outlineLvl w:val="3"/>
      <w:outlineLvl w:val="3"/>
    </w:pPr>
    <w:rPr>
      <w:b/>
      <w:bCs/>
      <w:i/>
      <w:iCs/>
      <w:color w:val="3190C9"/>
      <w:sz w:val="20"/>
      <w:szCs w:val="20"/>
      <w:lang w:val="en-US"/>
    </w:rPr>
  </w:style>
  <w:style w:type="paragraph" w:styleId="Heading5">
    <w:name w:val="Heading 5"/>
    <w:basedOn w:val="Normal"/>
    <w:next w:val="Normal"/>
    <w:qFormat/>
    <w:pPr>
      <w:keepNext/>
      <w:keepLines/>
      <w:numPr>
        <w:ilvl w:val="4"/>
        <w:numId w:val="1"/>
      </w:numPr>
      <w:spacing w:before="200" w:after="0"/>
      <w:jc w:val="both"/>
      <w:outlineLvl w:val="4"/>
      <w:outlineLvl w:val="4"/>
    </w:pPr>
    <w:rPr>
      <w:sz w:val="28"/>
      <w:szCs w:val="20"/>
      <w:lang w:val="en-US"/>
    </w:rPr>
  </w:style>
  <w:style w:type="paragraph" w:styleId="Heading6">
    <w:name w:val="Heading 6"/>
    <w:basedOn w:val="Normal"/>
    <w:next w:val="Normal"/>
    <w:qFormat/>
    <w:pPr>
      <w:numPr>
        <w:ilvl w:val="5"/>
        <w:numId w:val="1"/>
      </w:numPr>
      <w:spacing w:before="240" w:after="60"/>
      <w:outlineLvl w:val="5"/>
      <w:outlineLvl w:val="5"/>
    </w:pPr>
    <w:rPr>
      <w:rFonts w:ascii="Calibri" w:hAnsi="Calibri" w:eastAsia="Times New Roman" w:cs="Calibri"/>
      <w:b/>
      <w:bCs/>
      <w:sz w:val="22"/>
      <w:szCs w:val="22"/>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PageNumber">
    <w:name w:val="Page Number"/>
    <w:basedOn w:val="DefaultParagraphFont"/>
    <w:rPr/>
  </w:style>
  <w:style w:type="character" w:styleId="BalloonTextChar">
    <w:name w:val="Balloon Text Char"/>
    <w:qFormat/>
    <w:rPr>
      <w:rFonts w:ascii="Lucida Grande" w:hAnsi="Lucida Grande" w:cs="Lucida Grande"/>
      <w:sz w:val="18"/>
      <w:szCs w:val="18"/>
    </w:rPr>
  </w:style>
  <w:style w:type="character" w:styleId="LightGridAccent11">
    <w:name w:val="Light Grid - Accent 11"/>
    <w:qFormat/>
    <w:rPr>
      <w:color w:val="808080"/>
    </w:rPr>
  </w:style>
  <w:style w:type="character" w:styleId="Heading1Char">
    <w:name w:val="Heading 1 Char"/>
    <w:qFormat/>
    <w:rPr>
      <w:rFonts w:ascii="Arial" w:hAnsi="Arial" w:eastAsia="MS PGothic" w:cs="Times New Roman"/>
      <w:b/>
      <w:bCs/>
      <w:color w:val="3190C9"/>
      <w:sz w:val="40"/>
      <w:szCs w:val="32"/>
    </w:rPr>
  </w:style>
  <w:style w:type="character" w:styleId="PlainTable31">
    <w:name w:val="Plain Table 31"/>
    <w:qFormat/>
    <w:rPr>
      <w:color w:val="808080"/>
    </w:rPr>
  </w:style>
  <w:style w:type="character" w:styleId="PlainTable51">
    <w:name w:val="Plain Table 51"/>
    <w:qFormat/>
    <w:rPr>
      <w:smallCaps/>
      <w:color w:val="244A58"/>
      <w:u w:val="single"/>
    </w:rPr>
  </w:style>
  <w:style w:type="character" w:styleId="Heading2Char">
    <w:name w:val="Heading 2 Char"/>
    <w:qFormat/>
    <w:rPr>
      <w:rFonts w:ascii="Arial" w:hAnsi="Arial" w:cs="Arial"/>
      <w:b/>
      <w:bCs/>
      <w:color w:val="3190C9"/>
      <w:sz w:val="28"/>
      <w:szCs w:val="26"/>
      <w:lang w:val="en-US"/>
    </w:rPr>
  </w:style>
  <w:style w:type="character" w:styleId="Heading3Char">
    <w:name w:val="Heading 3 Char"/>
    <w:qFormat/>
    <w:rPr>
      <w:rFonts w:ascii="Arial" w:hAnsi="Arial" w:cs="Arial"/>
      <w:b/>
      <w:bCs/>
      <w:color w:val="3190C9"/>
      <w:sz w:val="26"/>
      <w:szCs w:val="24"/>
      <w:lang w:val="en-US"/>
    </w:rPr>
  </w:style>
  <w:style w:type="character" w:styleId="Heading4Char">
    <w:name w:val="Heading 4 Char"/>
    <w:qFormat/>
    <w:rPr>
      <w:rFonts w:ascii="Arial" w:hAnsi="Arial" w:eastAsia="MS PGothic" w:cs="Times New Roman"/>
      <w:b/>
      <w:bCs/>
      <w:i/>
      <w:iCs/>
      <w:color w:val="3190C9"/>
    </w:rPr>
  </w:style>
  <w:style w:type="character" w:styleId="Heading5Char">
    <w:name w:val="Heading 5 Char"/>
    <w:qFormat/>
    <w:rPr>
      <w:rFonts w:ascii="Arial" w:hAnsi="Arial" w:eastAsia="MS PGothic" w:cs="Times New Roman"/>
      <w:sz w:val="28"/>
    </w:rPr>
  </w:style>
  <w:style w:type="character" w:styleId="SubtitleChar">
    <w:name w:val="Subtitle Char"/>
    <w:qFormat/>
    <w:rPr>
      <w:rFonts w:ascii="News Gothic MT;Malgun Gothic" w:hAnsi="News Gothic MT;Malgun Gothic" w:eastAsia="MS PGothic" w:cs="Times New Roman"/>
      <w:i/>
      <w:iCs/>
      <w:color w:val="2C7C9F"/>
      <w:spacing w:val="15"/>
    </w:rPr>
  </w:style>
  <w:style w:type="character" w:styleId="Emphasis">
    <w:name w:val="Emphasis"/>
    <w:qFormat/>
    <w:rPr>
      <w:i/>
      <w:iCs/>
    </w:rPr>
  </w:style>
  <w:style w:type="character" w:styleId="PlainTable41">
    <w:name w:val="Plain Table 41"/>
    <w:qFormat/>
    <w:rPr>
      <w:b/>
      <w:bCs/>
      <w:i/>
      <w:iCs/>
      <w:color w:val="2C7C9F"/>
    </w:rPr>
  </w:style>
  <w:style w:type="character" w:styleId="ColorfulGridAccent3Char">
    <w:name w:val="Colorful Grid - Accent 3 Char"/>
    <w:qFormat/>
    <w:rPr>
      <w:rFonts w:ascii="Arial" w:hAnsi="Arial" w:cs="Arial"/>
      <w:b/>
      <w:bCs/>
      <w:i/>
      <w:iCs/>
      <w:color w:val="2C7C9F"/>
    </w:rPr>
  </w:style>
  <w:style w:type="character" w:styleId="ColorfulListAccent3Char">
    <w:name w:val="Colorful List - Accent 3 Char"/>
    <w:qFormat/>
    <w:rPr>
      <w:rFonts w:ascii="Arial" w:hAnsi="Arial" w:cs="Arial"/>
      <w:i/>
      <w:iCs/>
      <w:color w:val="000000"/>
    </w:rPr>
  </w:style>
  <w:style w:type="character" w:styleId="StrongEmphasis">
    <w:name w:val="Strong Emphasis"/>
    <w:qFormat/>
    <w:rPr>
      <w:b/>
      <w:bCs/>
    </w:rPr>
  </w:style>
  <w:style w:type="character" w:styleId="GridTable1Light1">
    <w:name w:val="Grid Table 1 Light1"/>
    <w:qFormat/>
    <w:rPr>
      <w:b/>
      <w:bCs/>
      <w:smallCaps/>
      <w:spacing w:val="5"/>
    </w:rPr>
  </w:style>
  <w:style w:type="character" w:styleId="TableGridLight1">
    <w:name w:val="Table Grid Light1"/>
    <w:qFormat/>
    <w:rPr>
      <w:b/>
      <w:bCs/>
      <w:smallCaps/>
      <w:color w:val="244A58"/>
      <w:spacing w:val="5"/>
      <w:u w:val="single"/>
    </w:rPr>
  </w:style>
  <w:style w:type="character" w:styleId="InternetLink">
    <w:name w:val="Internet Link"/>
    <w:rPr>
      <w:color w:val="7030A0"/>
      <w:u w:val="single"/>
    </w:rPr>
  </w:style>
  <w:style w:type="character" w:styleId="Heading6Char">
    <w:name w:val="Heading 6 Char"/>
    <w:qFormat/>
    <w:rPr>
      <w:rFonts w:ascii="Calibri" w:hAnsi="Calibri" w:eastAsia="Times New Roman" w:cs="Times New Roman"/>
      <w:b/>
      <w:bCs/>
      <w:sz w:val="22"/>
      <w:szCs w:val="22"/>
      <w:lang w:val="en-U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Lucida Grande" w:hAnsi="Lucida Grande" w:cs="Lucida Grande"/>
      <w:sz w:val="18"/>
      <w:szCs w:val="18"/>
      <w:lang w:val="en-US"/>
    </w:rPr>
  </w:style>
  <w:style w:type="paragraph" w:styleId="Subtitle">
    <w:name w:val="Subtitle"/>
    <w:basedOn w:val="Normal"/>
    <w:next w:val="Normal"/>
    <w:qFormat/>
    <w:pPr/>
    <w:rPr>
      <w:rFonts w:ascii="News Gothic MT;Malgun Gothic" w:hAnsi="News Gothic MT;Malgun Gothic" w:cs="News Gothic MT;Malgun Gothic"/>
      <w:i/>
      <w:iCs/>
      <w:color w:val="2C7C9F"/>
      <w:spacing w:val="15"/>
      <w:sz w:val="20"/>
      <w:szCs w:val="20"/>
      <w:lang w:val="en-US"/>
    </w:rPr>
  </w:style>
  <w:style w:type="paragraph" w:styleId="ColorfulGridAccent31">
    <w:name w:val="Colorful Grid - Accent 31"/>
    <w:basedOn w:val="Normal"/>
    <w:next w:val="Normal"/>
    <w:qFormat/>
    <w:pPr>
      <w:pBdr>
        <w:bottom w:val="single" w:sz="4" w:space="4" w:color="2C7C9F"/>
      </w:pBdr>
      <w:spacing w:before="200" w:after="280"/>
      <w:ind w:left="936" w:right="936" w:hanging="0"/>
    </w:pPr>
    <w:rPr>
      <w:b/>
      <w:bCs/>
      <w:i/>
      <w:iCs/>
      <w:color w:val="2C7C9F"/>
      <w:sz w:val="20"/>
      <w:szCs w:val="20"/>
      <w:lang w:val="en-US"/>
    </w:rPr>
  </w:style>
  <w:style w:type="paragraph" w:styleId="ColorfulListAccent31">
    <w:name w:val="Colorful List - Accent 31"/>
    <w:basedOn w:val="Normal"/>
    <w:next w:val="Normal"/>
    <w:qFormat/>
    <w:pPr/>
    <w:rPr>
      <w:i/>
      <w:iCs/>
      <w:color w:val="000000"/>
      <w:sz w:val="20"/>
      <w:szCs w:val="20"/>
      <w:lang w:val="en-US"/>
    </w:rPr>
  </w:style>
  <w:style w:type="paragraph" w:styleId="ColorfulShadingAccent31">
    <w:name w:val="Colorful Shading - Accent 31"/>
    <w:basedOn w:val="Normal"/>
    <w:qFormat/>
    <w:pPr>
      <w:numPr>
        <w:ilvl w:val="0"/>
        <w:numId w:val="3"/>
      </w:numPr>
      <w:spacing w:before="0" w:after="120"/>
      <w:ind w:left="714" w:right="0" w:hanging="357"/>
    </w:pPr>
    <w:rPr>
      <w:sz w:val="22"/>
    </w:rPr>
  </w:style>
  <w:style w:type="paragraph" w:styleId="MediumShading1Accent11">
    <w:name w:val="Medium Shading 1 - Accent 11"/>
    <w:qFormat/>
    <w:pPr>
      <w:widowControl/>
      <w:kinsoku w:val="true"/>
      <w:overflowPunct w:val="true"/>
      <w:autoSpaceDE w:val="true"/>
      <w:bidi w:val="0"/>
    </w:pPr>
    <w:rPr>
      <w:rFonts w:ascii="Arial" w:hAnsi="Arial" w:eastAsia="MS PGothic" w:cs="Arial"/>
      <w:color w:val="auto"/>
      <w:sz w:val="24"/>
      <w:szCs w:val="24"/>
      <w:lang w:val="en-US" w:bidi="ar-SA" w:eastAsia="zh-CN"/>
    </w:rPr>
  </w:style>
  <w:style w:type="paragraph" w:styleId="Categorybreadcrumb">
    <w:name w:val="category-breadcrumb"/>
    <w:basedOn w:val="Normal"/>
    <w:qFormat/>
    <w:pPr>
      <w:spacing w:before="280" w:after="280"/>
    </w:pPr>
    <w:rPr>
      <w:lang w:val="en-AU"/>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DMbVzEiAclGs">
    <w:name w:val="WW8Num1DMbVz_EiAclGs"/>
    <w:qFormat/>
  </w:style>
  <w:style w:type="numbering" w:styleId="WW8Num2DMbVzEiAclGs">
    <w:name w:val="WW8Num2DMbVz_EiAclGs"/>
    <w:qFormat/>
  </w:style>
  <w:style w:type="numbering" w:styleId="WW8Num3DMbVzEiAclGs">
    <w:name w:val="WW8Num3DMbVz_EiAclGs"/>
    <w:qFormat/>
  </w:style>
  <w:style w:type="numbering" w:styleId="WW8Num4DMbVzEiAclGs">
    <w:name w:val="WW8Num4DMbVz_EiAclGs"/>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ifs.gov.au/cfca/pubs/factsheets/a142090/index.html" TargetMode="External"/><Relationship Id="rId3" Type="http://schemas.openxmlformats.org/officeDocument/2006/relationships/hyperlink" Target="http://gdhr.wa.gov.au/guides/what-to-teach/dealing-with-disclosures" TargetMode="External"/><Relationship Id="rId4" Type="http://schemas.openxmlformats.org/officeDocument/2006/relationships/hyperlink" Target="https://www.kemh.health.wa.gov.au/our-services/service-directory/sarc" TargetMode="External"/><Relationship Id="rId5" Type="http://schemas.openxmlformats.org/officeDocument/2006/relationships/hyperlink" Target="http://www.det.wa.edu.au/childprotection/detcms/portal/" TargetMode="External"/><Relationship Id="rId6" Type="http://schemas.openxmlformats.org/officeDocument/2006/relationships/hyperlink" Target="http://www.legalaid.wa.gov.au/" TargetMode="External"/><Relationship Id="rId7" Type="http://schemas.openxmlformats.org/officeDocument/2006/relationships/hyperlink" Target="http://www.als.org.au/" TargetMode="External"/><Relationship Id="rId8" Type="http://schemas.openxmlformats.org/officeDocument/2006/relationships/hyperlink" Target="http://www.health.wa.gov.au/docreg/Education/Prevention/Sexual_Health/Law/HP2304_what_the_law_says_about_sex.pdf" TargetMode="External"/><Relationship Id="rId9" Type="http://schemas.openxmlformats.org/officeDocument/2006/relationships/hyperlink" Target="http://www.kemh.health.wa.gov.au/services/sarc/documents/ready_willing_able.pdf" TargetMode="External"/><Relationship Id="rId10" Type="http://schemas.openxmlformats.org/officeDocument/2006/relationships/hyperlink" Target="https://gdhr.wa.gov.au/resources/videos/-/asset_publisher/arcOQ3YIBkzj/content/tea-and-consent?inheritRedirect=false&amp;redirect=https%3A%2F%2Fgdhr.wa.gov.au%2Fresources%2Fvideos%3Fp_p_id%3D101_INSTANCE_arcOQ3YIBkzj%26p_p_lifecycle%3D0%26p_p_state%3Dnormal%26p_p_mode%3Dview%26p_p_col_id%3Dcolumn-2%26p_p_col_count%3D1" TargetMode="External"/><Relationship Id="rId11" Type="http://schemas.openxmlformats.org/officeDocument/2006/relationships/hyperlink" Target="https://www.legalaid.wa.gov.au/sites/default/files/inline-files/8.9 Sex and consent.pdf" TargetMode="External"/><Relationship Id="rId12" Type="http://schemas.openxmlformats.org/officeDocument/2006/relationships/hyperlink" Target="https://gdhr.wa.gov.au/-/sexual-consent-and-the-law"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gdhr.wa.gov.au/" TargetMode="External"/>
</Relationships>
</file>

<file path=word/_rels/footer2.xml.rels><?xml version="1.0" encoding="UTF-8"?>
<Relationships xmlns="http://schemas.openxmlformats.org/package/2006/relationships"><Relationship Id="rId1" Type="http://schemas.openxmlformats.org/officeDocument/2006/relationships/hyperlink" Target="https://www.gdhr.wa.gov.au/" TargetMode="Externa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TotalTime>
  <Application>LibreOffice/5.1.3.2$Linux_X86_64 LibreOffice_project/644e4637d1d8544fd9f56425bd6cec110e49301b</Application>
  <Pages>4</Pages>
  <Words>717</Words>
  <Characters>3686</Characters>
  <CharactersWithSpaces>4346</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2016-06-17T12:06:00Z</dcterms:created>
  <dc:creator>Department of Health WA - GDHR (C) 2016</dc:creator>
  <dc:description/>
  <cp:keywords>department health gdhr</cp:keywords>
  <dc:language>en-US</dc:language>
  <cp:lastModifiedBy/>
  <cp:lastPrinted>2014-11-18T10:54:00Z</cp:lastPrinted>
  <dcterms:modified xsi:type="dcterms:W3CDTF">2024-03-29T22:00:35Z</dcterms:modified>
  <cp:revision>6</cp:revision>
  <dc:subject/>
  <dc:title/>
</cp:coreProperties>
</file>